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28" w:rsidRDefault="00B76728"/>
    <w:p w:rsidR="00166194" w:rsidRDefault="009153D5">
      <w:pPr>
        <w:spacing w:after="360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POSEBNI USLOVI</w:t>
      </w:r>
    </w:p>
    <w:p w:rsidR="00166194" w:rsidRDefault="009153D5">
      <w:pPr>
        <w:spacing w:before="240" w:after="120"/>
        <w:rPr>
          <w:b/>
          <w:sz w:val="28"/>
          <w:szCs w:val="28"/>
        </w:rPr>
      </w:pPr>
      <w:r>
        <w:rPr>
          <w:b/>
          <w:sz w:val="28"/>
          <w:szCs w:val="28"/>
        </w:rPr>
        <w:t>SADRŽAJ</w:t>
      </w:r>
    </w:p>
    <w:p w:rsidR="00273662" w:rsidRDefault="00273662">
      <w:pPr>
        <w:spacing w:before="240" w:after="120"/>
        <w:rPr>
          <w:sz w:val="28"/>
          <w:szCs w:val="28"/>
        </w:rPr>
      </w:pPr>
    </w:p>
    <w:tbl>
      <w:tblPr>
        <w:tblStyle w:val="a"/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166194" w:rsidTr="00273662">
        <w:tc>
          <w:tcPr>
            <w:tcW w:w="9311" w:type="dxa"/>
          </w:tcPr>
          <w:p w:rsidR="00166194" w:rsidRDefault="009153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VAŽNO!</w:t>
            </w:r>
          </w:p>
          <w:p w:rsidR="00166194" w:rsidRDefault="0032751B" w:rsidP="0032751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uslovi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dopunj</w:t>
            </w:r>
            <w:r>
              <w:rPr>
                <w:sz w:val="22"/>
                <w:szCs w:val="22"/>
              </w:rPr>
              <w:t>ava</w:t>
            </w:r>
            <w:r w:rsidR="009153D5">
              <w:rPr>
                <w:sz w:val="22"/>
                <w:szCs w:val="22"/>
              </w:rPr>
              <w:t>ju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Opšte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uslove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koji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regulišu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Ugovor</w:t>
            </w:r>
            <w:proofErr w:type="spellEnd"/>
            <w:r w:rsidR="009153D5">
              <w:rPr>
                <w:sz w:val="22"/>
                <w:szCs w:val="22"/>
              </w:rPr>
              <w:t xml:space="preserve">. </w:t>
            </w:r>
            <w:proofErr w:type="spellStart"/>
            <w:r w:rsidR="009153D5">
              <w:rPr>
                <w:sz w:val="22"/>
                <w:szCs w:val="22"/>
              </w:rPr>
              <w:t>Osim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ako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Posebni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uslovi</w:t>
            </w:r>
            <w:proofErr w:type="spellEnd"/>
            <w:r w:rsidR="009153D5">
              <w:rPr>
                <w:sz w:val="22"/>
                <w:szCs w:val="22"/>
              </w:rPr>
              <w:t xml:space="preserve"> ne </w:t>
            </w:r>
            <w:proofErr w:type="spellStart"/>
            <w:r w:rsidR="009153D5">
              <w:rPr>
                <w:sz w:val="22"/>
                <w:szCs w:val="22"/>
              </w:rPr>
              <w:t>predviđaju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drugačije</w:t>
            </w:r>
            <w:proofErr w:type="spellEnd"/>
            <w:r w:rsidR="009153D5">
              <w:rPr>
                <w:sz w:val="22"/>
                <w:szCs w:val="22"/>
              </w:rPr>
              <w:t xml:space="preserve">, </w:t>
            </w:r>
            <w:proofErr w:type="spellStart"/>
            <w:r w:rsidR="009153D5">
              <w:rPr>
                <w:sz w:val="22"/>
                <w:szCs w:val="22"/>
              </w:rPr>
              <w:t>ti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Opšti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uslovi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ostaju</w:t>
            </w:r>
            <w:proofErr w:type="spellEnd"/>
            <w:r w:rsidR="009153D5">
              <w:rPr>
                <w:sz w:val="22"/>
                <w:szCs w:val="22"/>
              </w:rPr>
              <w:t xml:space="preserve"> u </w:t>
            </w:r>
            <w:proofErr w:type="spellStart"/>
            <w:r w:rsidR="009153D5">
              <w:rPr>
                <w:sz w:val="22"/>
                <w:szCs w:val="22"/>
              </w:rPr>
              <w:t>potpunosti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primjenjivi</w:t>
            </w:r>
            <w:proofErr w:type="spellEnd"/>
            <w:r w:rsidR="009153D5">
              <w:rPr>
                <w:sz w:val="22"/>
                <w:szCs w:val="22"/>
              </w:rPr>
              <w:t xml:space="preserve">. </w:t>
            </w:r>
            <w:proofErr w:type="spellStart"/>
            <w:r w:rsidR="009153D5">
              <w:rPr>
                <w:sz w:val="22"/>
                <w:szCs w:val="22"/>
              </w:rPr>
              <w:t>Numeracija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članova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Posebnih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uslova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nije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uzastopna</w:t>
            </w:r>
            <w:proofErr w:type="spellEnd"/>
            <w:r w:rsidR="009153D5">
              <w:rPr>
                <w:sz w:val="22"/>
                <w:szCs w:val="22"/>
              </w:rPr>
              <w:t xml:space="preserve">, </w:t>
            </w:r>
            <w:proofErr w:type="spellStart"/>
            <w:r w:rsidR="009153D5">
              <w:rPr>
                <w:sz w:val="22"/>
                <w:szCs w:val="22"/>
              </w:rPr>
              <w:t>već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prati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numerisanje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članova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Opštih</w:t>
            </w:r>
            <w:proofErr w:type="spellEnd"/>
            <w:r w:rsidR="009153D5">
              <w:rPr>
                <w:sz w:val="22"/>
                <w:szCs w:val="22"/>
              </w:rPr>
              <w:t xml:space="preserve"> </w:t>
            </w:r>
            <w:proofErr w:type="spellStart"/>
            <w:r w:rsidR="009153D5">
              <w:rPr>
                <w:sz w:val="22"/>
                <w:szCs w:val="22"/>
              </w:rPr>
              <w:t>uslova</w:t>
            </w:r>
            <w:proofErr w:type="spellEnd"/>
            <w:r w:rsidR="009153D5">
              <w:rPr>
                <w:sz w:val="22"/>
                <w:szCs w:val="22"/>
              </w:rPr>
              <w:t>.</w:t>
            </w:r>
          </w:p>
        </w:tc>
      </w:tr>
    </w:tbl>
    <w:p w:rsidR="00166194" w:rsidRDefault="00166194">
      <w:pPr>
        <w:jc w:val="both"/>
      </w:pPr>
    </w:p>
    <w:p w:rsidR="00166194" w:rsidRDefault="009153D5">
      <w:pPr>
        <w:spacing w:before="240"/>
        <w:ind w:left="1134" w:hanging="1134"/>
        <w:jc w:val="both"/>
      </w:pPr>
      <w:bookmarkStart w:id="1" w:name="_30j0zll" w:colFirst="0" w:colLast="0"/>
      <w:bookmarkEnd w:id="1"/>
      <w:proofErr w:type="spellStart"/>
      <w:r>
        <w:rPr>
          <w:b/>
        </w:rPr>
        <w:t>Član</w:t>
      </w:r>
      <w:proofErr w:type="spellEnd"/>
      <w:r>
        <w:rPr>
          <w:b/>
        </w:rPr>
        <w:t xml:space="preserve"> 2</w:t>
      </w:r>
      <w:r>
        <w:rPr>
          <w:b/>
        </w:rPr>
        <w:tab/>
      </w:r>
      <w:proofErr w:type="spellStart"/>
      <w:r>
        <w:rPr>
          <w:b/>
        </w:rPr>
        <w:t>Jezik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ugovora</w:t>
      </w:r>
      <w:proofErr w:type="spellEnd"/>
    </w:p>
    <w:p w:rsidR="00166194" w:rsidRPr="00312110" w:rsidRDefault="009153D5" w:rsidP="00312110">
      <w:pPr>
        <w:spacing w:before="120" w:after="120"/>
        <w:ind w:left="1134" w:hanging="567"/>
        <w:rPr>
          <w:sz w:val="22"/>
          <w:szCs w:val="22"/>
        </w:rPr>
      </w:pPr>
      <w:bookmarkStart w:id="2" w:name="_1fob9te" w:colFirst="0" w:colLast="0"/>
      <w:bookmarkEnd w:id="2"/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proofErr w:type="spellStart"/>
      <w:r w:rsidR="0032751B">
        <w:rPr>
          <w:sz w:val="22"/>
          <w:szCs w:val="22"/>
        </w:rPr>
        <w:t>Jezik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ugovora</w:t>
      </w:r>
      <w:proofErr w:type="spellEnd"/>
      <w:r w:rsidR="0032751B">
        <w:rPr>
          <w:sz w:val="22"/>
          <w:szCs w:val="22"/>
        </w:rPr>
        <w:t xml:space="preserve"> mora </w:t>
      </w:r>
      <w:proofErr w:type="spellStart"/>
      <w:r w:rsidR="0032751B">
        <w:rPr>
          <w:sz w:val="22"/>
          <w:szCs w:val="22"/>
        </w:rPr>
        <w:t>biti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srpski</w:t>
      </w:r>
      <w:proofErr w:type="spellEnd"/>
      <w:r w:rsidR="0032751B">
        <w:rPr>
          <w:sz w:val="22"/>
          <w:szCs w:val="22"/>
        </w:rPr>
        <w:t xml:space="preserve"> -</w:t>
      </w:r>
      <w:proofErr w:type="spellStart"/>
      <w:r w:rsidR="0032751B">
        <w:rPr>
          <w:sz w:val="22"/>
          <w:szCs w:val="22"/>
        </w:rPr>
        <w:t>latinica</w:t>
      </w:r>
      <w:proofErr w:type="spellEnd"/>
    </w:p>
    <w:p w:rsidR="00166194" w:rsidRDefault="009153D5">
      <w:pPr>
        <w:spacing w:before="240"/>
        <w:ind w:left="1134" w:hanging="1134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</w:t>
      </w:r>
      <w:r>
        <w:rPr>
          <w:b/>
        </w:rPr>
        <w:tab/>
      </w:r>
      <w:proofErr w:type="spellStart"/>
      <w:r>
        <w:rPr>
          <w:b/>
        </w:rPr>
        <w:t>Komunikacija</w:t>
      </w:r>
      <w:proofErr w:type="spellEnd"/>
    </w:p>
    <w:p w:rsidR="00166194" w:rsidRDefault="009153D5" w:rsidP="00BC11C2">
      <w:pPr>
        <w:spacing w:before="120" w:after="120"/>
        <w:ind w:left="1134" w:hanging="567"/>
        <w:rPr>
          <w:sz w:val="22"/>
          <w:szCs w:val="22"/>
        </w:rPr>
      </w:pPr>
      <w:r>
        <w:rPr>
          <w:sz w:val="22"/>
          <w:szCs w:val="22"/>
        </w:rPr>
        <w:t>4.1</w:t>
      </w:r>
      <w:r>
        <w:rPr>
          <w:sz w:val="22"/>
          <w:szCs w:val="22"/>
        </w:rPr>
        <w:tab/>
      </w:r>
      <w:bookmarkStart w:id="3" w:name="_3znysh7" w:colFirst="0" w:colLast="0"/>
      <w:bookmarkEnd w:id="3"/>
      <w:proofErr w:type="spellStart"/>
      <w:r w:rsidR="00BC11C2" w:rsidRPr="00BC11C2">
        <w:rPr>
          <w:snapToGrid w:val="0"/>
          <w:sz w:val="22"/>
          <w:szCs w:val="22"/>
        </w:rPr>
        <w:t>Kontakt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osobe</w:t>
      </w:r>
      <w:proofErr w:type="spellEnd"/>
      <w:r w:rsidR="00BC11C2" w:rsidRPr="00BC11C2">
        <w:rPr>
          <w:snapToGrid w:val="0"/>
          <w:sz w:val="22"/>
          <w:szCs w:val="22"/>
        </w:rPr>
        <w:t xml:space="preserve">, </w:t>
      </w:r>
      <w:proofErr w:type="spellStart"/>
      <w:r w:rsidR="00BC11C2" w:rsidRPr="00BC11C2">
        <w:rPr>
          <w:snapToGrid w:val="0"/>
          <w:sz w:val="22"/>
          <w:szCs w:val="22"/>
        </w:rPr>
        <w:t>adrese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stranaka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i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njihovi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kontakt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podaci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dokumenti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koje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treba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dostaviti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i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procedura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koju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će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strane</w:t>
      </w:r>
      <w:proofErr w:type="spellEnd"/>
      <w:r w:rsidR="00BC11C2" w:rsidRPr="00BC11C2">
        <w:rPr>
          <w:snapToGrid w:val="0"/>
          <w:sz w:val="22"/>
          <w:szCs w:val="22"/>
        </w:rPr>
        <w:t xml:space="preserve"> </w:t>
      </w:r>
      <w:proofErr w:type="spellStart"/>
      <w:r w:rsidR="00BC11C2" w:rsidRPr="00BC11C2">
        <w:rPr>
          <w:snapToGrid w:val="0"/>
          <w:sz w:val="22"/>
          <w:szCs w:val="22"/>
        </w:rPr>
        <w:t>koristi</w:t>
      </w:r>
      <w:r w:rsidR="0032751B">
        <w:rPr>
          <w:snapToGrid w:val="0"/>
          <w:sz w:val="22"/>
          <w:szCs w:val="22"/>
        </w:rPr>
        <w:t>ti</w:t>
      </w:r>
      <w:proofErr w:type="spellEnd"/>
      <w:r w:rsidR="0032751B">
        <w:rPr>
          <w:snapToGrid w:val="0"/>
          <w:sz w:val="22"/>
          <w:szCs w:val="22"/>
        </w:rPr>
        <w:t xml:space="preserve"> </w:t>
      </w:r>
      <w:proofErr w:type="spellStart"/>
      <w:r w:rsidR="0032751B">
        <w:rPr>
          <w:snapToGrid w:val="0"/>
          <w:sz w:val="22"/>
          <w:szCs w:val="22"/>
        </w:rPr>
        <w:t>za</w:t>
      </w:r>
      <w:proofErr w:type="spellEnd"/>
      <w:r w:rsidR="0032751B">
        <w:rPr>
          <w:snapToGrid w:val="0"/>
          <w:sz w:val="22"/>
          <w:szCs w:val="22"/>
        </w:rPr>
        <w:t xml:space="preserve"> </w:t>
      </w:r>
      <w:proofErr w:type="spellStart"/>
      <w:r w:rsidR="0032751B">
        <w:rPr>
          <w:snapToGrid w:val="0"/>
          <w:sz w:val="22"/>
          <w:szCs w:val="22"/>
        </w:rPr>
        <w:t>komunikaciju</w:t>
      </w:r>
      <w:proofErr w:type="spellEnd"/>
      <w:r w:rsidR="0032751B">
        <w:rPr>
          <w:snapToGrid w:val="0"/>
          <w:sz w:val="22"/>
          <w:szCs w:val="22"/>
        </w:rPr>
        <w:t xml:space="preserve">: Mladen Milaković, Grad Banja Luka, </w:t>
      </w:r>
      <w:proofErr w:type="spellStart"/>
      <w:r w:rsidR="0032751B">
        <w:rPr>
          <w:snapToGrid w:val="0"/>
          <w:sz w:val="22"/>
          <w:szCs w:val="22"/>
        </w:rPr>
        <w:t>Odsjek</w:t>
      </w:r>
      <w:proofErr w:type="spellEnd"/>
      <w:r w:rsidR="0032751B">
        <w:rPr>
          <w:snapToGrid w:val="0"/>
          <w:sz w:val="22"/>
          <w:szCs w:val="22"/>
        </w:rPr>
        <w:t xml:space="preserve"> </w:t>
      </w:r>
      <w:proofErr w:type="spellStart"/>
      <w:r w:rsidR="0032751B">
        <w:rPr>
          <w:snapToGrid w:val="0"/>
          <w:sz w:val="22"/>
          <w:szCs w:val="22"/>
        </w:rPr>
        <w:t>za</w:t>
      </w:r>
      <w:proofErr w:type="spellEnd"/>
      <w:r w:rsidR="0032751B">
        <w:rPr>
          <w:snapToGrid w:val="0"/>
          <w:sz w:val="22"/>
          <w:szCs w:val="22"/>
        </w:rPr>
        <w:t xml:space="preserve"> </w:t>
      </w:r>
      <w:proofErr w:type="spellStart"/>
      <w:r w:rsidR="0032751B">
        <w:rPr>
          <w:snapToGrid w:val="0"/>
          <w:sz w:val="22"/>
          <w:szCs w:val="22"/>
        </w:rPr>
        <w:t>međunarodnu</w:t>
      </w:r>
      <w:proofErr w:type="spellEnd"/>
      <w:r w:rsidR="0032751B">
        <w:rPr>
          <w:snapToGrid w:val="0"/>
          <w:sz w:val="22"/>
          <w:szCs w:val="22"/>
        </w:rPr>
        <w:t xml:space="preserve"> </w:t>
      </w:r>
      <w:proofErr w:type="spellStart"/>
      <w:r w:rsidR="0032751B">
        <w:rPr>
          <w:snapToGrid w:val="0"/>
          <w:sz w:val="22"/>
          <w:szCs w:val="22"/>
        </w:rPr>
        <w:t>saradnju</w:t>
      </w:r>
      <w:proofErr w:type="spellEnd"/>
      <w:r w:rsidR="0032751B">
        <w:rPr>
          <w:snapToGrid w:val="0"/>
          <w:sz w:val="22"/>
          <w:szCs w:val="22"/>
        </w:rPr>
        <w:t xml:space="preserve"> I </w:t>
      </w:r>
      <w:proofErr w:type="spellStart"/>
      <w:r w:rsidR="0032751B">
        <w:rPr>
          <w:snapToGrid w:val="0"/>
          <w:sz w:val="22"/>
          <w:szCs w:val="22"/>
        </w:rPr>
        <w:t>projekte</w:t>
      </w:r>
      <w:proofErr w:type="spellEnd"/>
      <w:r w:rsidR="00BC11C2" w:rsidRPr="00BC11C2">
        <w:rPr>
          <w:snapToGrid w:val="0"/>
          <w:sz w:val="22"/>
          <w:szCs w:val="22"/>
        </w:rPr>
        <w:t>,</w:t>
      </w:r>
      <w:r w:rsidR="0032751B">
        <w:rPr>
          <w:snapToGrid w:val="0"/>
          <w:sz w:val="22"/>
          <w:szCs w:val="22"/>
        </w:rPr>
        <w:t xml:space="preserve"> </w:t>
      </w:r>
      <w:proofErr w:type="spellStart"/>
      <w:r w:rsidR="0032751B">
        <w:rPr>
          <w:snapToGrid w:val="0"/>
          <w:sz w:val="22"/>
          <w:szCs w:val="22"/>
        </w:rPr>
        <w:t>Trg</w:t>
      </w:r>
      <w:proofErr w:type="spellEnd"/>
      <w:r w:rsidR="0032751B">
        <w:rPr>
          <w:snapToGrid w:val="0"/>
          <w:sz w:val="22"/>
          <w:szCs w:val="22"/>
        </w:rPr>
        <w:t xml:space="preserve"> </w:t>
      </w:r>
      <w:proofErr w:type="spellStart"/>
      <w:r w:rsidR="0032751B">
        <w:rPr>
          <w:snapToGrid w:val="0"/>
          <w:sz w:val="22"/>
          <w:szCs w:val="22"/>
        </w:rPr>
        <w:t>srpskih</w:t>
      </w:r>
      <w:proofErr w:type="spellEnd"/>
      <w:r w:rsidR="0032751B">
        <w:rPr>
          <w:snapToGrid w:val="0"/>
          <w:sz w:val="22"/>
          <w:szCs w:val="22"/>
        </w:rPr>
        <w:t xml:space="preserve"> </w:t>
      </w:r>
      <w:proofErr w:type="spellStart"/>
      <w:proofErr w:type="gramStart"/>
      <w:r w:rsidR="0032751B">
        <w:rPr>
          <w:snapToGrid w:val="0"/>
          <w:sz w:val="22"/>
          <w:szCs w:val="22"/>
        </w:rPr>
        <w:t>vladara</w:t>
      </w:r>
      <w:proofErr w:type="spellEnd"/>
      <w:r w:rsidR="0032751B">
        <w:rPr>
          <w:snapToGrid w:val="0"/>
          <w:sz w:val="22"/>
          <w:szCs w:val="22"/>
        </w:rPr>
        <w:t xml:space="preserve"> ,</w:t>
      </w:r>
      <w:proofErr w:type="gramEnd"/>
      <w:r w:rsidR="0032751B">
        <w:rPr>
          <w:snapToGrid w:val="0"/>
          <w:sz w:val="22"/>
          <w:szCs w:val="22"/>
        </w:rPr>
        <w:t xml:space="preserve"> 78000 Banja Luka</w:t>
      </w:r>
      <w:r w:rsidR="00BC11C2" w:rsidRPr="00BC11C2">
        <w:rPr>
          <w:snapToGrid w:val="0"/>
          <w:sz w:val="22"/>
          <w:szCs w:val="22"/>
        </w:rPr>
        <w:t xml:space="preserve">, </w:t>
      </w:r>
      <w:r w:rsidR="0032751B">
        <w:rPr>
          <w:snapToGrid w:val="0"/>
          <w:sz w:val="22"/>
          <w:szCs w:val="22"/>
        </w:rPr>
        <w:t>RS-</w:t>
      </w:r>
      <w:proofErr w:type="spellStart"/>
      <w:r w:rsidR="0032751B">
        <w:rPr>
          <w:snapToGrid w:val="0"/>
          <w:sz w:val="22"/>
          <w:szCs w:val="22"/>
        </w:rPr>
        <w:t>BiH</w:t>
      </w:r>
      <w:proofErr w:type="spellEnd"/>
      <w:r w:rsidR="00BC11C2" w:rsidRPr="00BC11C2">
        <w:rPr>
          <w:snapToGrid w:val="0"/>
          <w:sz w:val="22"/>
          <w:szCs w:val="22"/>
        </w:rPr>
        <w:t>; e-mail</w:t>
      </w:r>
      <w:r w:rsidR="0032751B">
        <w:rPr>
          <w:snapToGrid w:val="0"/>
          <w:sz w:val="22"/>
          <w:szCs w:val="22"/>
        </w:rPr>
        <w:t xml:space="preserve"> </w:t>
      </w:r>
      <w:hyperlink r:id="rId7" w:history="1">
        <w:r w:rsidR="0032751B" w:rsidRPr="00621C4A">
          <w:rPr>
            <w:rStyle w:val="Hyperlink"/>
            <w:snapToGrid w:val="0"/>
            <w:sz w:val="22"/>
            <w:szCs w:val="22"/>
          </w:rPr>
          <w:t>mladen.milakovic@banjaluka.rs.ba</w:t>
        </w:r>
      </w:hyperlink>
      <w:r w:rsidR="0032751B">
        <w:rPr>
          <w:snapToGrid w:val="0"/>
          <w:sz w:val="22"/>
          <w:szCs w:val="22"/>
          <w:lang w:val="en-US"/>
        </w:rPr>
        <w:t xml:space="preserve"> tel.: +387 51 220 283</w:t>
      </w:r>
      <w:r w:rsidR="00BC11C2" w:rsidRPr="00BC11C2">
        <w:rPr>
          <w:snapToGrid w:val="0"/>
          <w:sz w:val="22"/>
          <w:szCs w:val="22"/>
          <w:lang w:val="en-US"/>
        </w:rPr>
        <w:t>.</w:t>
      </w:r>
    </w:p>
    <w:p w:rsidR="00166194" w:rsidRDefault="0032751B">
      <w:pPr>
        <w:spacing w:before="240"/>
        <w:ind w:left="1134" w:hanging="1134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</w:t>
      </w:r>
      <w:r>
        <w:rPr>
          <w:b/>
        </w:rPr>
        <w:tab/>
      </w:r>
      <w:proofErr w:type="spellStart"/>
      <w:r>
        <w:rPr>
          <w:b/>
        </w:rPr>
        <w:t>Nadzorni</w:t>
      </w:r>
      <w:proofErr w:type="spellEnd"/>
      <w:r>
        <w:rPr>
          <w:b/>
        </w:rPr>
        <w:t xml:space="preserve"> organ</w:t>
      </w:r>
    </w:p>
    <w:p w:rsidR="00BC11C2" w:rsidRPr="005A00AB" w:rsidRDefault="00BC11C2" w:rsidP="00BC11C2">
      <w:pPr>
        <w:spacing w:before="120" w:after="120"/>
        <w:ind w:left="1134" w:hanging="567"/>
        <w:jc w:val="both"/>
        <w:rPr>
          <w:sz w:val="22"/>
          <w:szCs w:val="22"/>
          <w:lang w:val="en-US"/>
        </w:rPr>
      </w:pPr>
      <w:bookmarkStart w:id="4" w:name="_2et92p0" w:colFirst="0" w:colLast="0"/>
      <w:bookmarkEnd w:id="4"/>
      <w:r>
        <w:rPr>
          <w:bCs/>
          <w:sz w:val="22"/>
          <w:szCs w:val="22"/>
        </w:rPr>
        <w:t>5.1</w:t>
      </w:r>
      <w:r w:rsidRPr="004E0E24">
        <w:rPr>
          <w:sz w:val="22"/>
          <w:szCs w:val="22"/>
        </w:rPr>
        <w:tab/>
      </w:r>
      <w:proofErr w:type="spellStart"/>
      <w:r w:rsidRPr="005A00AB">
        <w:rPr>
          <w:sz w:val="22"/>
          <w:szCs w:val="22"/>
          <w:lang w:val="en-US"/>
        </w:rPr>
        <w:t>Naručilac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5A00AB">
        <w:rPr>
          <w:sz w:val="22"/>
          <w:szCs w:val="22"/>
          <w:lang w:val="en-US"/>
        </w:rPr>
        <w:t>će</w:t>
      </w:r>
      <w:proofErr w:type="spellEnd"/>
      <w:proofErr w:type="gram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obezbijediti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stalni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stručni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nadzor</w:t>
      </w:r>
      <w:proofErr w:type="spellEnd"/>
      <w:r w:rsidRPr="005A00AB">
        <w:rPr>
          <w:sz w:val="22"/>
          <w:szCs w:val="22"/>
          <w:lang w:val="en-US"/>
        </w:rPr>
        <w:t xml:space="preserve"> u </w:t>
      </w:r>
      <w:proofErr w:type="spellStart"/>
      <w:r w:rsidRPr="005A00AB">
        <w:rPr>
          <w:sz w:val="22"/>
          <w:szCs w:val="22"/>
          <w:lang w:val="en-US"/>
        </w:rPr>
        <w:t>toku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izvođenja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radova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koji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su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predmet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ovog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ugovora</w:t>
      </w:r>
      <w:proofErr w:type="spellEnd"/>
      <w:r w:rsidRPr="005A00AB">
        <w:rPr>
          <w:sz w:val="22"/>
          <w:szCs w:val="22"/>
          <w:lang w:val="en-US"/>
        </w:rPr>
        <w:t xml:space="preserve">. </w:t>
      </w:r>
      <w:proofErr w:type="spellStart"/>
      <w:r w:rsidRPr="005A00AB">
        <w:rPr>
          <w:sz w:val="22"/>
          <w:szCs w:val="22"/>
          <w:lang w:val="en-US"/>
        </w:rPr>
        <w:t>Izvođač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radova</w:t>
      </w:r>
      <w:proofErr w:type="spellEnd"/>
      <w:r w:rsidRPr="005A00AB">
        <w:rPr>
          <w:sz w:val="22"/>
          <w:szCs w:val="22"/>
          <w:lang w:val="en-US"/>
        </w:rPr>
        <w:t xml:space="preserve"> je </w:t>
      </w:r>
      <w:proofErr w:type="spellStart"/>
      <w:r w:rsidRPr="005A00AB">
        <w:rPr>
          <w:sz w:val="22"/>
          <w:szCs w:val="22"/>
          <w:lang w:val="en-US"/>
        </w:rPr>
        <w:t>dužan</w:t>
      </w:r>
      <w:proofErr w:type="spellEnd"/>
      <w:r w:rsidRPr="005A00AB">
        <w:rPr>
          <w:sz w:val="22"/>
          <w:szCs w:val="22"/>
          <w:lang w:val="en-US"/>
        </w:rPr>
        <w:t xml:space="preserve"> da se </w:t>
      </w:r>
      <w:proofErr w:type="spellStart"/>
      <w:r w:rsidR="0032751B">
        <w:rPr>
          <w:sz w:val="22"/>
          <w:szCs w:val="22"/>
          <w:lang w:val="en-US"/>
        </w:rPr>
        <w:t>pridržava</w:t>
      </w:r>
      <w:proofErr w:type="spellEnd"/>
      <w:r w:rsidR="0032751B">
        <w:rPr>
          <w:sz w:val="22"/>
          <w:szCs w:val="22"/>
          <w:lang w:val="en-US"/>
        </w:rPr>
        <w:t xml:space="preserve"> </w:t>
      </w:r>
      <w:proofErr w:type="spellStart"/>
      <w:r w:rsidR="0032751B">
        <w:rPr>
          <w:sz w:val="22"/>
          <w:szCs w:val="22"/>
          <w:lang w:val="en-US"/>
        </w:rPr>
        <w:t>uputstava</w:t>
      </w:r>
      <w:proofErr w:type="spellEnd"/>
      <w:r w:rsidR="0032751B">
        <w:rPr>
          <w:sz w:val="22"/>
          <w:szCs w:val="22"/>
          <w:lang w:val="en-US"/>
        </w:rPr>
        <w:t xml:space="preserve"> </w:t>
      </w:r>
      <w:proofErr w:type="spellStart"/>
      <w:r w:rsidR="0032751B">
        <w:rPr>
          <w:sz w:val="22"/>
          <w:szCs w:val="22"/>
          <w:lang w:val="en-US"/>
        </w:rPr>
        <w:t>nadzora</w:t>
      </w:r>
      <w:proofErr w:type="spellEnd"/>
      <w:r w:rsidR="0032751B">
        <w:rPr>
          <w:sz w:val="22"/>
          <w:szCs w:val="22"/>
          <w:lang w:val="en-US"/>
        </w:rPr>
        <w:t xml:space="preserve">. </w:t>
      </w:r>
      <w:proofErr w:type="spellStart"/>
      <w:r w:rsidR="0032751B">
        <w:rPr>
          <w:sz w:val="22"/>
          <w:szCs w:val="22"/>
          <w:lang w:val="en-US"/>
        </w:rPr>
        <w:t>Nadzorni</w:t>
      </w:r>
      <w:proofErr w:type="spellEnd"/>
      <w:r w:rsidR="0032751B">
        <w:rPr>
          <w:sz w:val="22"/>
          <w:szCs w:val="22"/>
          <w:lang w:val="en-US"/>
        </w:rPr>
        <w:t xml:space="preserve"> organ </w:t>
      </w:r>
      <w:proofErr w:type="spellStart"/>
      <w:proofErr w:type="gramStart"/>
      <w:r w:rsidR="0032751B">
        <w:rPr>
          <w:sz w:val="22"/>
          <w:szCs w:val="22"/>
          <w:lang w:val="en-US"/>
        </w:rPr>
        <w:t>će</w:t>
      </w:r>
      <w:proofErr w:type="spellEnd"/>
      <w:proofErr w:type="gramEnd"/>
      <w:r w:rsidR="0032751B">
        <w:rPr>
          <w:sz w:val="22"/>
          <w:szCs w:val="22"/>
          <w:lang w:val="en-US"/>
        </w:rPr>
        <w:t xml:space="preserve"> </w:t>
      </w:r>
      <w:proofErr w:type="spellStart"/>
      <w:r w:rsidR="0032751B">
        <w:rPr>
          <w:sz w:val="22"/>
          <w:szCs w:val="22"/>
          <w:lang w:val="en-US"/>
        </w:rPr>
        <w:t>tražiti</w:t>
      </w:r>
      <w:proofErr w:type="spellEnd"/>
      <w:r w:rsidR="0032751B">
        <w:rPr>
          <w:sz w:val="22"/>
          <w:szCs w:val="22"/>
          <w:lang w:val="en-US"/>
        </w:rPr>
        <w:t xml:space="preserve"> </w:t>
      </w:r>
      <w:proofErr w:type="spellStart"/>
      <w:r w:rsidR="0032751B">
        <w:rPr>
          <w:sz w:val="22"/>
          <w:szCs w:val="22"/>
          <w:lang w:val="en-US"/>
        </w:rPr>
        <w:t>sve</w:t>
      </w:r>
      <w:proofErr w:type="spellEnd"/>
      <w:r w:rsidR="0032751B">
        <w:rPr>
          <w:sz w:val="22"/>
          <w:szCs w:val="22"/>
          <w:lang w:val="en-US"/>
        </w:rPr>
        <w:t xml:space="preserve"> </w:t>
      </w:r>
      <w:proofErr w:type="spellStart"/>
      <w:r w:rsidR="0032751B">
        <w:rPr>
          <w:sz w:val="22"/>
          <w:szCs w:val="22"/>
          <w:lang w:val="en-US"/>
        </w:rPr>
        <w:t>c</w:t>
      </w:r>
      <w:r w:rsidRPr="005A00AB">
        <w:rPr>
          <w:sz w:val="22"/>
          <w:szCs w:val="22"/>
          <w:lang w:val="en-US"/>
        </w:rPr>
        <w:t>ertifikate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za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obavljene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radove</w:t>
      </w:r>
      <w:proofErr w:type="spellEnd"/>
      <w:r w:rsidRPr="005A00AB">
        <w:rPr>
          <w:sz w:val="22"/>
          <w:szCs w:val="22"/>
          <w:lang w:val="en-US"/>
        </w:rPr>
        <w:t xml:space="preserve">, </w:t>
      </w:r>
      <w:proofErr w:type="spellStart"/>
      <w:r w:rsidRPr="005A00AB">
        <w:rPr>
          <w:sz w:val="22"/>
          <w:szCs w:val="22"/>
          <w:lang w:val="en-US"/>
        </w:rPr>
        <w:t>pratiti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vrstu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i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kvalitet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radova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od</w:t>
      </w:r>
      <w:proofErr w:type="spellEnd"/>
      <w:r w:rsidRPr="005A00AB">
        <w:rPr>
          <w:sz w:val="22"/>
          <w:szCs w:val="22"/>
          <w:lang w:val="en-US"/>
        </w:rPr>
        <w:t xml:space="preserve"> </w:t>
      </w:r>
      <w:proofErr w:type="spellStart"/>
      <w:r w:rsidRPr="005A00AB">
        <w:rPr>
          <w:sz w:val="22"/>
          <w:szCs w:val="22"/>
          <w:lang w:val="en-US"/>
        </w:rPr>
        <w:t>puštanja</w:t>
      </w:r>
      <w:proofErr w:type="spellEnd"/>
      <w:r w:rsidRPr="005A00AB">
        <w:rPr>
          <w:sz w:val="22"/>
          <w:szCs w:val="22"/>
          <w:lang w:val="en-US"/>
        </w:rPr>
        <w:t xml:space="preserve"> u rad do </w:t>
      </w:r>
      <w:proofErr w:type="spellStart"/>
      <w:r w:rsidRPr="005A00AB">
        <w:rPr>
          <w:sz w:val="22"/>
          <w:szCs w:val="22"/>
          <w:lang w:val="en-US"/>
        </w:rPr>
        <w:t>primopredaje</w:t>
      </w:r>
      <w:proofErr w:type="spellEnd"/>
      <w:r w:rsidRPr="005A00AB">
        <w:rPr>
          <w:sz w:val="22"/>
          <w:szCs w:val="22"/>
          <w:lang w:val="en-US"/>
        </w:rPr>
        <w:t>.</w:t>
      </w:r>
    </w:p>
    <w:p w:rsidR="00BC11C2" w:rsidRDefault="00BC11C2" w:rsidP="00BC11C2">
      <w:pPr>
        <w:spacing w:before="120" w:after="120"/>
        <w:ind w:left="1134" w:hanging="567"/>
        <w:jc w:val="both"/>
        <w:rPr>
          <w:b/>
          <w:sz w:val="22"/>
          <w:szCs w:val="22"/>
        </w:rPr>
      </w:pPr>
      <w:r w:rsidRPr="00F162E3">
        <w:rPr>
          <w:bCs/>
          <w:sz w:val="22"/>
          <w:szCs w:val="22"/>
        </w:rPr>
        <w:t>5.4</w:t>
      </w:r>
      <w:r w:rsidRPr="00F162E3">
        <w:rPr>
          <w:sz w:val="22"/>
          <w:szCs w:val="22"/>
        </w:rPr>
        <w:tab/>
      </w:r>
      <w:proofErr w:type="spellStart"/>
      <w:r w:rsidRPr="00317DC6">
        <w:rPr>
          <w:sz w:val="22"/>
          <w:szCs w:val="22"/>
        </w:rPr>
        <w:t>Administrativni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nalozi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izdat</w:t>
      </w:r>
      <w:r w:rsidR="0032751B">
        <w:rPr>
          <w:sz w:val="22"/>
          <w:szCs w:val="22"/>
        </w:rPr>
        <w:t>i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proofErr w:type="gramStart"/>
      <w:r w:rsidR="0032751B">
        <w:rPr>
          <w:sz w:val="22"/>
          <w:szCs w:val="22"/>
        </w:rPr>
        <w:t>od</w:t>
      </w:r>
      <w:proofErr w:type="spellEnd"/>
      <w:proofErr w:type="gram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strane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Ugovornog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organa</w:t>
      </w:r>
      <w:proofErr w:type="spellEnd"/>
      <w:r w:rsidR="0032751B">
        <w:rPr>
          <w:sz w:val="22"/>
          <w:szCs w:val="22"/>
        </w:rPr>
        <w:t xml:space="preserve"> /</w:t>
      </w:r>
      <w:proofErr w:type="spellStart"/>
      <w:r w:rsidR="0032751B">
        <w:rPr>
          <w:sz w:val="22"/>
          <w:szCs w:val="22"/>
        </w:rPr>
        <w:t>Nadzora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će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biti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datirani</w:t>
      </w:r>
      <w:proofErr w:type="spellEnd"/>
      <w:r w:rsidRPr="00317DC6">
        <w:rPr>
          <w:sz w:val="22"/>
          <w:szCs w:val="22"/>
        </w:rPr>
        <w:t xml:space="preserve">, </w:t>
      </w:r>
      <w:proofErr w:type="spellStart"/>
      <w:r w:rsidRPr="00317DC6">
        <w:rPr>
          <w:sz w:val="22"/>
          <w:szCs w:val="22"/>
        </w:rPr>
        <w:t>numerisani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i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upisani</w:t>
      </w:r>
      <w:proofErr w:type="spellEnd"/>
      <w:r w:rsidR="0032751B">
        <w:rPr>
          <w:sz w:val="22"/>
          <w:szCs w:val="22"/>
        </w:rPr>
        <w:t xml:space="preserve"> u </w:t>
      </w:r>
      <w:proofErr w:type="spellStart"/>
      <w:r w:rsidR="0032751B">
        <w:rPr>
          <w:sz w:val="22"/>
          <w:szCs w:val="22"/>
        </w:rPr>
        <w:t>registar</w:t>
      </w:r>
      <w:proofErr w:type="spellEnd"/>
      <w:r w:rsidR="0032751B">
        <w:rPr>
          <w:sz w:val="22"/>
          <w:szCs w:val="22"/>
        </w:rPr>
        <w:t xml:space="preserve">. </w:t>
      </w:r>
      <w:proofErr w:type="spellStart"/>
      <w:r w:rsidR="0032751B">
        <w:rPr>
          <w:sz w:val="22"/>
          <w:szCs w:val="22"/>
        </w:rPr>
        <w:t>Nadzorni</w:t>
      </w:r>
      <w:proofErr w:type="spellEnd"/>
      <w:r w:rsidR="0032751B">
        <w:rPr>
          <w:sz w:val="22"/>
          <w:szCs w:val="22"/>
        </w:rPr>
        <w:t xml:space="preserve"> organ</w:t>
      </w:r>
      <w:r w:rsidRPr="00317DC6">
        <w:rPr>
          <w:sz w:val="22"/>
          <w:szCs w:val="22"/>
        </w:rPr>
        <w:t xml:space="preserve"> </w:t>
      </w:r>
      <w:proofErr w:type="spellStart"/>
      <w:proofErr w:type="gramStart"/>
      <w:r w:rsidRPr="00317DC6">
        <w:rPr>
          <w:sz w:val="22"/>
          <w:szCs w:val="22"/>
        </w:rPr>
        <w:t>će</w:t>
      </w:r>
      <w:proofErr w:type="spellEnd"/>
      <w:proofErr w:type="gram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ih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poslati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elektronskim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putem</w:t>
      </w:r>
      <w:proofErr w:type="spellEnd"/>
      <w:r w:rsidRPr="00317DC6">
        <w:rPr>
          <w:sz w:val="22"/>
          <w:szCs w:val="22"/>
        </w:rPr>
        <w:t xml:space="preserve"> (e-</w:t>
      </w:r>
      <w:proofErr w:type="spellStart"/>
      <w:r w:rsidRPr="00317DC6">
        <w:rPr>
          <w:sz w:val="22"/>
          <w:szCs w:val="22"/>
        </w:rPr>
        <w:t>mailom</w:t>
      </w:r>
      <w:proofErr w:type="spellEnd"/>
      <w:r w:rsidRPr="00317DC6">
        <w:rPr>
          <w:sz w:val="22"/>
          <w:szCs w:val="22"/>
        </w:rPr>
        <w:t xml:space="preserve">) </w:t>
      </w:r>
      <w:proofErr w:type="spellStart"/>
      <w:r w:rsidRPr="00317DC6">
        <w:rPr>
          <w:sz w:val="22"/>
          <w:szCs w:val="22"/>
        </w:rPr>
        <w:t>predstavnicima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Izvođača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i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Ugovarača</w:t>
      </w:r>
      <w:proofErr w:type="spellEnd"/>
      <w:r w:rsidRPr="00317DC6">
        <w:rPr>
          <w:sz w:val="22"/>
          <w:szCs w:val="22"/>
        </w:rPr>
        <w:t xml:space="preserve">. </w:t>
      </w:r>
      <w:proofErr w:type="spellStart"/>
      <w:r w:rsidRPr="00317DC6">
        <w:rPr>
          <w:sz w:val="22"/>
          <w:szCs w:val="22"/>
        </w:rPr>
        <w:t>Štampane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kopije</w:t>
      </w:r>
      <w:proofErr w:type="spellEnd"/>
      <w:r w:rsidRPr="00317DC6">
        <w:rPr>
          <w:sz w:val="22"/>
          <w:szCs w:val="22"/>
        </w:rPr>
        <w:t xml:space="preserve"> se </w:t>
      </w:r>
      <w:proofErr w:type="spellStart"/>
      <w:r w:rsidRPr="00317DC6">
        <w:rPr>
          <w:sz w:val="22"/>
          <w:szCs w:val="22"/>
        </w:rPr>
        <w:t>dostavljaju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ručno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predstavnicima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Izvođača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i</w:t>
      </w:r>
      <w:proofErr w:type="spellEnd"/>
      <w:r w:rsidRPr="00317DC6">
        <w:rPr>
          <w:sz w:val="22"/>
          <w:szCs w:val="22"/>
        </w:rPr>
        <w:t xml:space="preserve"> </w:t>
      </w:r>
      <w:proofErr w:type="spellStart"/>
      <w:r w:rsidRPr="00317DC6">
        <w:rPr>
          <w:sz w:val="22"/>
          <w:szCs w:val="22"/>
        </w:rPr>
        <w:t>p</w:t>
      </w:r>
      <w:r w:rsidR="0032751B">
        <w:rPr>
          <w:sz w:val="22"/>
          <w:szCs w:val="22"/>
        </w:rPr>
        <w:t>redstavniku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Ugovornog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organa</w:t>
      </w:r>
      <w:proofErr w:type="spellEnd"/>
      <w:r w:rsidRPr="00317DC6">
        <w:rPr>
          <w:sz w:val="22"/>
          <w:szCs w:val="22"/>
        </w:rPr>
        <w:t>.</w:t>
      </w:r>
    </w:p>
    <w:p w:rsidR="00166194" w:rsidRDefault="0032751B">
      <w:pPr>
        <w:tabs>
          <w:tab w:val="left" w:pos="1134"/>
        </w:tabs>
        <w:spacing w:before="240" w:after="120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Član</w:t>
      </w:r>
      <w:proofErr w:type="spellEnd"/>
      <w:r>
        <w:rPr>
          <w:b/>
          <w:sz w:val="22"/>
          <w:szCs w:val="22"/>
        </w:rPr>
        <w:t xml:space="preserve"> 12</w:t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Opšte</w:t>
      </w:r>
      <w:proofErr w:type="spellEnd"/>
      <w:r w:rsidR="009153D5">
        <w:rPr>
          <w:b/>
          <w:sz w:val="22"/>
          <w:szCs w:val="22"/>
        </w:rPr>
        <w:t xml:space="preserve"> </w:t>
      </w:r>
      <w:proofErr w:type="spellStart"/>
      <w:r w:rsidR="009153D5">
        <w:rPr>
          <w:b/>
          <w:sz w:val="22"/>
          <w:szCs w:val="22"/>
        </w:rPr>
        <w:t>obaveze</w:t>
      </w:r>
      <w:proofErr w:type="spellEnd"/>
    </w:p>
    <w:p w:rsidR="00166194" w:rsidRDefault="009153D5" w:rsidP="00BC11C2">
      <w:pPr>
        <w:spacing w:after="120"/>
        <w:ind w:left="1276" w:hanging="556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12.9</w:t>
      </w:r>
      <w:r>
        <w:rPr>
          <w:sz w:val="22"/>
          <w:szCs w:val="22"/>
        </w:rPr>
        <w:tab/>
      </w:r>
      <w:proofErr w:type="spellStart"/>
      <w:r w:rsidR="00BC11C2" w:rsidRPr="00EB1BA6">
        <w:rPr>
          <w:bCs/>
          <w:sz w:val="22"/>
          <w:szCs w:val="22"/>
        </w:rPr>
        <w:t>Izvođač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će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preduzeti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potrebne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mjere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kako</w:t>
      </w:r>
      <w:proofErr w:type="spellEnd"/>
      <w:r w:rsidR="00BC11C2" w:rsidRPr="00EB1BA6">
        <w:rPr>
          <w:bCs/>
          <w:sz w:val="22"/>
          <w:szCs w:val="22"/>
        </w:rPr>
        <w:t xml:space="preserve"> bi </w:t>
      </w:r>
      <w:proofErr w:type="spellStart"/>
      <w:r w:rsidR="00BC11C2" w:rsidRPr="00EB1BA6">
        <w:rPr>
          <w:bCs/>
          <w:sz w:val="22"/>
          <w:szCs w:val="22"/>
        </w:rPr>
        <w:t>osigurao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vidljivost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finansiranja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Evropske</w:t>
      </w:r>
      <w:proofErr w:type="spellEnd"/>
      <w:r w:rsidR="00BC11C2" w:rsidRPr="00EB1BA6">
        <w:rPr>
          <w:bCs/>
          <w:sz w:val="22"/>
          <w:szCs w:val="22"/>
        </w:rPr>
        <w:t xml:space="preserve"> </w:t>
      </w:r>
      <w:proofErr w:type="spellStart"/>
      <w:r w:rsidR="00BC11C2" w:rsidRPr="00EB1BA6">
        <w:rPr>
          <w:bCs/>
          <w:sz w:val="22"/>
          <w:szCs w:val="22"/>
        </w:rPr>
        <w:t>unije.</w:t>
      </w:r>
      <w:r w:rsidR="00BC11C2" w:rsidRPr="00EB1BA6">
        <w:rPr>
          <w:sz w:val="22"/>
          <w:szCs w:val="22"/>
        </w:rPr>
        <w:t>Nakon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završetka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svih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radova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potrebno</w:t>
      </w:r>
      <w:proofErr w:type="spellEnd"/>
      <w:r w:rsidR="00BC11C2" w:rsidRPr="00EB1BA6">
        <w:rPr>
          <w:sz w:val="22"/>
          <w:szCs w:val="22"/>
        </w:rPr>
        <w:t xml:space="preserve"> je </w:t>
      </w:r>
      <w:proofErr w:type="spellStart"/>
      <w:r w:rsidR="00BC11C2" w:rsidRPr="00EB1BA6">
        <w:rPr>
          <w:sz w:val="22"/>
          <w:szCs w:val="22"/>
        </w:rPr>
        <w:t>postaviti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trajnu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ploču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čija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su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pravila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vidljivosti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propisana</w:t>
      </w:r>
      <w:proofErr w:type="spellEnd"/>
      <w:r w:rsidR="00BC11C2" w:rsidRPr="00EB1BA6">
        <w:rPr>
          <w:sz w:val="22"/>
          <w:szCs w:val="22"/>
        </w:rPr>
        <w:t xml:space="preserve"> u </w:t>
      </w:r>
      <w:proofErr w:type="spellStart"/>
      <w:r w:rsidR="00BC11C2" w:rsidRPr="00EB1BA6">
        <w:rPr>
          <w:sz w:val="22"/>
          <w:szCs w:val="22"/>
        </w:rPr>
        <w:t>programskim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dokumentima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dostupnim</w:t>
      </w:r>
      <w:proofErr w:type="spellEnd"/>
      <w:r w:rsidR="00BC11C2" w:rsidRPr="00EB1BA6">
        <w:rPr>
          <w:sz w:val="22"/>
          <w:szCs w:val="22"/>
        </w:rPr>
        <w:t xml:space="preserve"> </w:t>
      </w:r>
      <w:proofErr w:type="spellStart"/>
      <w:r w:rsidR="00BC11C2" w:rsidRPr="00EB1BA6">
        <w:rPr>
          <w:sz w:val="22"/>
          <w:szCs w:val="22"/>
        </w:rPr>
        <w:t>na</w:t>
      </w:r>
      <w:proofErr w:type="gramStart"/>
      <w:r w:rsidR="00BC11C2" w:rsidRPr="00EB1BA6">
        <w:rPr>
          <w:sz w:val="22"/>
          <w:szCs w:val="22"/>
        </w:rPr>
        <w:t>:</w:t>
      </w:r>
      <w:proofErr w:type="gramEnd"/>
      <w:r w:rsidR="00E27962">
        <w:fldChar w:fldCharType="begin"/>
      </w:r>
      <w:r w:rsidR="00E27962">
        <w:instrText xml:space="preserve"> HYPERLINK "https://interreg-hr-ba-me.eu/documents/implem</w:instrText>
      </w:r>
      <w:r w:rsidR="00E27962">
        <w:instrText xml:space="preserve">entation/" </w:instrText>
      </w:r>
      <w:r w:rsidR="00E27962">
        <w:fldChar w:fldCharType="separate"/>
      </w:r>
      <w:r w:rsidR="0026396C" w:rsidRPr="00AB61B5">
        <w:rPr>
          <w:rStyle w:val="Hyperlink"/>
          <w:sz w:val="22"/>
          <w:szCs w:val="22"/>
        </w:rPr>
        <w:t>https</w:t>
      </w:r>
      <w:proofErr w:type="spellEnd"/>
      <w:r w:rsidR="0026396C" w:rsidRPr="00AB61B5">
        <w:rPr>
          <w:rStyle w:val="Hyperlink"/>
          <w:sz w:val="22"/>
          <w:szCs w:val="22"/>
        </w:rPr>
        <w:t>://interreg-hr-ba-me.eu/documents/implementation/</w:t>
      </w:r>
      <w:r w:rsidR="00E27962">
        <w:rPr>
          <w:rStyle w:val="Hyperlink"/>
          <w:sz w:val="22"/>
          <w:szCs w:val="22"/>
        </w:rPr>
        <w:fldChar w:fldCharType="end"/>
      </w:r>
      <w:r w:rsidR="0026396C">
        <w:rPr>
          <w:sz w:val="22"/>
          <w:szCs w:val="22"/>
        </w:rPr>
        <w:t>.</w:t>
      </w:r>
    </w:p>
    <w:p w:rsidR="00166194" w:rsidRDefault="009153D5" w:rsidP="002F56BE">
      <w:pPr>
        <w:spacing w:before="240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15</w:t>
      </w:r>
      <w:r>
        <w:rPr>
          <w:b/>
        </w:rPr>
        <w:tab/>
      </w:r>
      <w:proofErr w:type="spellStart"/>
      <w:r>
        <w:rPr>
          <w:b/>
        </w:rPr>
        <w:t>Garancija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performansi</w:t>
      </w:r>
      <w:proofErr w:type="spellEnd"/>
    </w:p>
    <w:p w:rsidR="00BC11C2" w:rsidRPr="00CA6498" w:rsidRDefault="009153D5" w:rsidP="00BC11C2">
      <w:pPr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t>15.1</w:t>
      </w:r>
      <w:r>
        <w:rPr>
          <w:sz w:val="22"/>
          <w:szCs w:val="22"/>
        </w:rPr>
        <w:tab/>
      </w:r>
      <w:proofErr w:type="spellStart"/>
      <w:r w:rsidR="00BC11C2" w:rsidRPr="00CA6498">
        <w:rPr>
          <w:sz w:val="22"/>
          <w:szCs w:val="22"/>
        </w:rPr>
        <w:t>Izuzetno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gramStart"/>
      <w:r w:rsidR="00BC11C2" w:rsidRPr="00CA6498">
        <w:rPr>
          <w:sz w:val="22"/>
          <w:szCs w:val="22"/>
        </w:rPr>
        <w:t>od</w:t>
      </w:r>
      <w:proofErr w:type="gram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člana</w:t>
      </w:r>
      <w:proofErr w:type="spellEnd"/>
      <w:r w:rsidR="00BC11C2" w:rsidRPr="00CA6498">
        <w:rPr>
          <w:sz w:val="22"/>
          <w:szCs w:val="22"/>
        </w:rPr>
        <w:t xml:space="preserve"> 15. </w:t>
      </w:r>
      <w:proofErr w:type="spellStart"/>
      <w:r w:rsidR="00BC11C2" w:rsidRPr="00CA6498">
        <w:rPr>
          <w:sz w:val="22"/>
          <w:szCs w:val="22"/>
        </w:rPr>
        <w:t>Opštih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uslova</w:t>
      </w:r>
      <w:proofErr w:type="spellEnd"/>
      <w:r w:rsidR="00BC11C2" w:rsidRPr="00CA6498">
        <w:rPr>
          <w:sz w:val="22"/>
          <w:szCs w:val="22"/>
        </w:rPr>
        <w:t xml:space="preserve">, </w:t>
      </w:r>
      <w:proofErr w:type="spellStart"/>
      <w:r w:rsidR="00BC11C2" w:rsidRPr="00CA6498">
        <w:rPr>
          <w:sz w:val="22"/>
          <w:szCs w:val="22"/>
        </w:rPr>
        <w:t>po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ovom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ugovoru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nije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potrebna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garancija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za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gramStart"/>
      <w:r w:rsidR="00BC11C2" w:rsidRPr="00CA6498">
        <w:rPr>
          <w:sz w:val="22"/>
          <w:szCs w:val="22"/>
        </w:rPr>
        <w:t>dobro</w:t>
      </w:r>
      <w:proofErr w:type="gram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izvršenje</w:t>
      </w:r>
      <w:proofErr w:type="spellEnd"/>
      <w:r w:rsidR="00BC11C2" w:rsidRPr="00CA6498">
        <w:rPr>
          <w:sz w:val="22"/>
          <w:szCs w:val="22"/>
        </w:rPr>
        <w:t xml:space="preserve"> </w:t>
      </w:r>
      <w:proofErr w:type="spellStart"/>
      <w:r w:rsidR="00BC11C2" w:rsidRPr="00CA6498">
        <w:rPr>
          <w:sz w:val="22"/>
          <w:szCs w:val="22"/>
        </w:rPr>
        <w:t>posla</w:t>
      </w:r>
      <w:proofErr w:type="spellEnd"/>
      <w:r w:rsidR="00BC11C2" w:rsidRPr="00CA6498">
        <w:rPr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16</w:t>
      </w:r>
      <w:r>
        <w:rPr>
          <w:b/>
        </w:rPr>
        <w:tab/>
      </w:r>
      <w:proofErr w:type="spellStart"/>
      <w:r>
        <w:rPr>
          <w:b/>
        </w:rPr>
        <w:t>Obaveze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osiguranje</w:t>
      </w:r>
      <w:proofErr w:type="spellEnd"/>
    </w:p>
    <w:p w:rsidR="00166194" w:rsidRDefault="009153D5" w:rsidP="002F56BE">
      <w:pPr>
        <w:spacing w:before="240"/>
        <w:ind w:left="1134" w:hanging="1134"/>
        <w:jc w:val="both"/>
        <w:rPr>
          <w:sz w:val="22"/>
          <w:szCs w:val="22"/>
        </w:rPr>
      </w:pPr>
      <w:r>
        <w:rPr>
          <w:b/>
        </w:rPr>
        <w:tab/>
      </w:r>
      <w:proofErr w:type="spellStart"/>
      <w:r w:rsidRPr="002F56BE">
        <w:rPr>
          <w:sz w:val="22"/>
          <w:szCs w:val="22"/>
        </w:rPr>
        <w:t>Nisu</w:t>
      </w:r>
      <w:proofErr w:type="spellEnd"/>
      <w:r w:rsidRPr="002F56BE">
        <w:rPr>
          <w:sz w:val="22"/>
          <w:szCs w:val="22"/>
        </w:rPr>
        <w:t xml:space="preserve"> </w:t>
      </w:r>
      <w:proofErr w:type="spellStart"/>
      <w:r w:rsidRPr="002F56BE">
        <w:rPr>
          <w:sz w:val="22"/>
          <w:szCs w:val="22"/>
        </w:rPr>
        <w:t>potrebne</w:t>
      </w:r>
      <w:proofErr w:type="spellEnd"/>
      <w:r w:rsidRPr="002F56BE">
        <w:rPr>
          <w:sz w:val="22"/>
          <w:szCs w:val="22"/>
        </w:rPr>
        <w:t xml:space="preserve"> </w:t>
      </w:r>
      <w:proofErr w:type="spellStart"/>
      <w:r w:rsidRPr="002F56BE">
        <w:rPr>
          <w:sz w:val="22"/>
          <w:szCs w:val="22"/>
        </w:rPr>
        <w:t>mjere</w:t>
      </w:r>
      <w:proofErr w:type="spellEnd"/>
      <w:r w:rsidRPr="002F56BE">
        <w:rPr>
          <w:sz w:val="22"/>
          <w:szCs w:val="22"/>
        </w:rPr>
        <w:t xml:space="preserve"> </w:t>
      </w:r>
      <w:proofErr w:type="spellStart"/>
      <w:r w:rsidRPr="002F56BE">
        <w:rPr>
          <w:sz w:val="22"/>
          <w:szCs w:val="22"/>
        </w:rPr>
        <w:t>odgovornosti</w:t>
      </w:r>
      <w:proofErr w:type="spellEnd"/>
      <w:r w:rsidRPr="002F56BE">
        <w:rPr>
          <w:sz w:val="22"/>
          <w:szCs w:val="22"/>
        </w:rPr>
        <w:t>/</w:t>
      </w:r>
      <w:proofErr w:type="spellStart"/>
      <w:r w:rsidRPr="002F56BE">
        <w:rPr>
          <w:sz w:val="22"/>
          <w:szCs w:val="22"/>
        </w:rPr>
        <w:t>osiguranja</w:t>
      </w:r>
      <w:proofErr w:type="spellEnd"/>
      <w:r w:rsidRPr="002F56BE">
        <w:rPr>
          <w:sz w:val="22"/>
          <w:szCs w:val="22"/>
        </w:rPr>
        <w:t>.</w:t>
      </w:r>
    </w:p>
    <w:p w:rsidR="009A3539" w:rsidRDefault="009A3539" w:rsidP="002F56BE">
      <w:pPr>
        <w:spacing w:before="240"/>
        <w:ind w:left="1134" w:hanging="1134"/>
        <w:jc w:val="both"/>
        <w:rPr>
          <w:sz w:val="22"/>
          <w:szCs w:val="22"/>
        </w:rPr>
      </w:pP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lastRenderedPageBreak/>
        <w:t>Član</w:t>
      </w:r>
      <w:proofErr w:type="spellEnd"/>
      <w:r>
        <w:rPr>
          <w:b/>
        </w:rPr>
        <w:t xml:space="preserve"> 17</w:t>
      </w:r>
      <w:r>
        <w:rPr>
          <w:b/>
        </w:rPr>
        <w:tab/>
        <w:t xml:space="preserve">Program </w:t>
      </w:r>
      <w:proofErr w:type="spellStart"/>
      <w:r>
        <w:rPr>
          <w:b/>
        </w:rPr>
        <w:t>realizacije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zadataka</w:t>
      </w:r>
      <w:proofErr w:type="spellEnd"/>
    </w:p>
    <w:p w:rsidR="002F56BE" w:rsidRDefault="002F56BE" w:rsidP="002F56BE">
      <w:pPr>
        <w:tabs>
          <w:tab w:val="left" w:pos="1276"/>
        </w:tabs>
        <w:spacing w:before="240" w:after="120"/>
        <w:ind w:left="1276" w:hanging="9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17.1 </w:t>
      </w:r>
      <w:r w:rsidR="0032751B">
        <w:rPr>
          <w:sz w:val="22"/>
          <w:szCs w:val="22"/>
        </w:rPr>
        <w:t xml:space="preserve">          </w:t>
      </w:r>
      <w:proofErr w:type="spellStart"/>
      <w:r w:rsidR="0032751B">
        <w:rPr>
          <w:sz w:val="22"/>
          <w:szCs w:val="22"/>
        </w:rPr>
        <w:t>Izvođač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proofErr w:type="gramStart"/>
      <w:r w:rsidR="0032751B">
        <w:rPr>
          <w:sz w:val="22"/>
          <w:szCs w:val="22"/>
        </w:rPr>
        <w:t>će</w:t>
      </w:r>
      <w:proofErr w:type="spellEnd"/>
      <w:proofErr w:type="gram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dati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nadzornom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organu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pojednostavljeni</w:t>
      </w:r>
      <w:proofErr w:type="spellEnd"/>
      <w:r>
        <w:rPr>
          <w:sz w:val="22"/>
          <w:szCs w:val="22"/>
        </w:rPr>
        <w:t xml:space="preserve"> program </w:t>
      </w:r>
      <w:proofErr w:type="spellStart"/>
      <w:r>
        <w:rPr>
          <w:sz w:val="22"/>
          <w:szCs w:val="22"/>
        </w:rPr>
        <w:t>implementacije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zadataka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Ovaj</w:t>
      </w:r>
      <w:proofErr w:type="spellEnd"/>
      <w:r>
        <w:rPr>
          <w:sz w:val="22"/>
          <w:szCs w:val="22"/>
        </w:rPr>
        <w:t xml:space="preserve"> program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uključivati</w:t>
      </w:r>
      <w:proofErr w:type="spellEnd"/>
      <w:r>
        <w:rPr>
          <w:sz w:val="22"/>
          <w:szCs w:val="22"/>
        </w:rPr>
        <w:t xml:space="preserve"> ​​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redosl</w:t>
      </w:r>
      <w:r w:rsidR="0032751B">
        <w:rPr>
          <w:sz w:val="22"/>
          <w:szCs w:val="22"/>
        </w:rPr>
        <w:t>j</w:t>
      </w:r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rokove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kojima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izvođač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predlaže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izvođenje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zasnivaće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tranšama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predviđenim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49.1 </w:t>
      </w:r>
      <w:proofErr w:type="spellStart"/>
      <w:r>
        <w:rPr>
          <w:sz w:val="22"/>
          <w:szCs w:val="22"/>
        </w:rPr>
        <w:t>posebnih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uslova</w:t>
      </w:r>
      <w:proofErr w:type="spellEnd"/>
      <w:r>
        <w:rPr>
          <w:sz w:val="22"/>
          <w:szCs w:val="22"/>
        </w:rPr>
        <w:t>.</w:t>
      </w:r>
    </w:p>
    <w:p w:rsidR="002F56BE" w:rsidRDefault="002F56BE" w:rsidP="002F56BE">
      <w:pPr>
        <w:tabs>
          <w:tab w:val="left" w:pos="1276"/>
        </w:tabs>
        <w:spacing w:before="240" w:after="120"/>
        <w:ind w:left="1276" w:hanging="992"/>
        <w:jc w:val="both"/>
        <w:rPr>
          <w:sz w:val="22"/>
          <w:szCs w:val="22"/>
        </w:rPr>
      </w:pPr>
      <w:r w:rsidRPr="003B6B13">
        <w:rPr>
          <w:sz w:val="22"/>
          <w:szCs w:val="22"/>
        </w:rPr>
        <w:t>17.2.</w:t>
      </w:r>
      <w:r>
        <w:rPr>
          <w:sz w:val="22"/>
          <w:szCs w:val="22"/>
        </w:rPr>
        <w:tab/>
      </w:r>
      <w:proofErr w:type="spellStart"/>
      <w:r w:rsidR="0032751B">
        <w:rPr>
          <w:sz w:val="22"/>
          <w:szCs w:val="22"/>
        </w:rPr>
        <w:t>Nadzorni</w:t>
      </w:r>
      <w:proofErr w:type="spellEnd"/>
      <w:r w:rsidR="0032751B">
        <w:rPr>
          <w:sz w:val="22"/>
          <w:szCs w:val="22"/>
        </w:rPr>
        <w:t xml:space="preserve"> organ</w:t>
      </w:r>
      <w:r w:rsidRPr="003B6B13">
        <w:rPr>
          <w:sz w:val="22"/>
          <w:szCs w:val="22"/>
        </w:rPr>
        <w:t xml:space="preserve"> </w:t>
      </w:r>
      <w:proofErr w:type="spellStart"/>
      <w:proofErr w:type="gramStart"/>
      <w:r w:rsidRPr="003B6B13">
        <w:rPr>
          <w:sz w:val="22"/>
          <w:szCs w:val="22"/>
        </w:rPr>
        <w:t>će</w:t>
      </w:r>
      <w:proofErr w:type="spellEnd"/>
      <w:proofErr w:type="gram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ovaj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dokument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vratiti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izvođaču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sa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svim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relevantnim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primjedbama</w:t>
      </w:r>
      <w:proofErr w:type="spellEnd"/>
      <w:r w:rsidRPr="003B6B13">
        <w:rPr>
          <w:sz w:val="22"/>
          <w:szCs w:val="22"/>
        </w:rPr>
        <w:t xml:space="preserve"> u </w:t>
      </w:r>
      <w:proofErr w:type="spellStart"/>
      <w:r w:rsidRPr="003B6B13">
        <w:rPr>
          <w:sz w:val="22"/>
          <w:szCs w:val="22"/>
        </w:rPr>
        <w:t>roku</w:t>
      </w:r>
      <w:proofErr w:type="spellEnd"/>
      <w:r w:rsidRPr="003B6B13">
        <w:rPr>
          <w:sz w:val="22"/>
          <w:szCs w:val="22"/>
        </w:rPr>
        <w:t xml:space="preserve"> od 10 dan</w:t>
      </w:r>
      <w:r w:rsidR="0032751B">
        <w:rPr>
          <w:sz w:val="22"/>
          <w:szCs w:val="22"/>
        </w:rPr>
        <w:t xml:space="preserve">a od </w:t>
      </w:r>
      <w:proofErr w:type="spellStart"/>
      <w:r w:rsidR="0032751B">
        <w:rPr>
          <w:sz w:val="22"/>
          <w:szCs w:val="22"/>
        </w:rPr>
        <w:t>prijema</w:t>
      </w:r>
      <w:proofErr w:type="spellEnd"/>
      <w:r w:rsidR="0032751B">
        <w:rPr>
          <w:sz w:val="22"/>
          <w:szCs w:val="22"/>
        </w:rPr>
        <w:t xml:space="preserve">, </w:t>
      </w:r>
      <w:proofErr w:type="spellStart"/>
      <w:r w:rsidR="0032751B">
        <w:rPr>
          <w:sz w:val="22"/>
          <w:szCs w:val="22"/>
        </w:rPr>
        <w:t>osim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ako</w:t>
      </w:r>
      <w:proofErr w:type="spellEnd"/>
      <w:r w:rsidR="0032751B">
        <w:rPr>
          <w:sz w:val="22"/>
          <w:szCs w:val="22"/>
        </w:rPr>
        <w:t xml:space="preserve"> </w:t>
      </w:r>
      <w:proofErr w:type="spellStart"/>
      <w:r w:rsidR="0032751B">
        <w:rPr>
          <w:sz w:val="22"/>
          <w:szCs w:val="22"/>
        </w:rPr>
        <w:t>nadzorni</w:t>
      </w:r>
      <w:proofErr w:type="spellEnd"/>
      <w:r w:rsidR="0032751B">
        <w:rPr>
          <w:sz w:val="22"/>
          <w:szCs w:val="22"/>
        </w:rPr>
        <w:t xml:space="preserve"> organ</w:t>
      </w:r>
      <w:r w:rsidRPr="003B6B13">
        <w:rPr>
          <w:sz w:val="22"/>
          <w:szCs w:val="22"/>
        </w:rPr>
        <w:t xml:space="preserve"> u </w:t>
      </w:r>
      <w:proofErr w:type="spellStart"/>
      <w:r w:rsidRPr="003B6B13">
        <w:rPr>
          <w:sz w:val="22"/>
          <w:szCs w:val="22"/>
        </w:rPr>
        <w:t>roku</w:t>
      </w:r>
      <w:proofErr w:type="spellEnd"/>
      <w:r w:rsidRPr="003B6B13">
        <w:rPr>
          <w:sz w:val="22"/>
          <w:szCs w:val="22"/>
        </w:rPr>
        <w:t xml:space="preserve"> od </w:t>
      </w:r>
      <w:proofErr w:type="spellStart"/>
      <w:r w:rsidRPr="003B6B13">
        <w:rPr>
          <w:sz w:val="22"/>
          <w:szCs w:val="22"/>
        </w:rPr>
        <w:t>tih</w:t>
      </w:r>
      <w:proofErr w:type="spellEnd"/>
      <w:r w:rsidRPr="003B6B13">
        <w:rPr>
          <w:sz w:val="22"/>
          <w:szCs w:val="22"/>
        </w:rPr>
        <w:t xml:space="preserve"> 10 dana </w:t>
      </w:r>
      <w:proofErr w:type="spellStart"/>
      <w:r w:rsidRPr="003B6B13">
        <w:rPr>
          <w:sz w:val="22"/>
          <w:szCs w:val="22"/>
        </w:rPr>
        <w:t>obavijesti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izvođača</w:t>
      </w:r>
      <w:proofErr w:type="spellEnd"/>
      <w:r w:rsidRPr="003B6B13">
        <w:rPr>
          <w:sz w:val="22"/>
          <w:szCs w:val="22"/>
        </w:rPr>
        <w:t xml:space="preserve"> o </w:t>
      </w:r>
      <w:proofErr w:type="spellStart"/>
      <w:r w:rsidRPr="003B6B13">
        <w:rPr>
          <w:sz w:val="22"/>
          <w:szCs w:val="22"/>
        </w:rPr>
        <w:t>svojoj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želji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za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sastankom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kako</w:t>
      </w:r>
      <w:proofErr w:type="spellEnd"/>
      <w:r w:rsidRPr="003B6B13">
        <w:rPr>
          <w:sz w:val="22"/>
          <w:szCs w:val="22"/>
        </w:rPr>
        <w:t xml:space="preserve"> bi se </w:t>
      </w:r>
      <w:proofErr w:type="spellStart"/>
      <w:r w:rsidRPr="003B6B13">
        <w:rPr>
          <w:sz w:val="22"/>
          <w:szCs w:val="22"/>
        </w:rPr>
        <w:t>razgovaralo</w:t>
      </w:r>
      <w:proofErr w:type="spellEnd"/>
      <w:r w:rsidRPr="003B6B13">
        <w:rPr>
          <w:sz w:val="22"/>
          <w:szCs w:val="22"/>
        </w:rPr>
        <w:t xml:space="preserve"> o </w:t>
      </w:r>
      <w:proofErr w:type="spellStart"/>
      <w:r w:rsidRPr="003B6B13">
        <w:rPr>
          <w:sz w:val="22"/>
          <w:szCs w:val="22"/>
        </w:rPr>
        <w:t>dostavljenoj</w:t>
      </w:r>
      <w:proofErr w:type="spellEnd"/>
      <w:r w:rsidRPr="003B6B13">
        <w:rPr>
          <w:sz w:val="22"/>
          <w:szCs w:val="22"/>
        </w:rPr>
        <w:t xml:space="preserve"> </w:t>
      </w:r>
      <w:proofErr w:type="spellStart"/>
      <w:r w:rsidRPr="003B6B13">
        <w:rPr>
          <w:sz w:val="22"/>
          <w:szCs w:val="22"/>
        </w:rPr>
        <w:t>dokumentaciji</w:t>
      </w:r>
      <w:proofErr w:type="spellEnd"/>
      <w:r w:rsidRPr="003B6B13">
        <w:rPr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21</w:t>
      </w:r>
      <w:r>
        <w:rPr>
          <w:b/>
        </w:rPr>
        <w:tab/>
      </w:r>
      <w:proofErr w:type="spellStart"/>
      <w:r>
        <w:rPr>
          <w:b/>
        </w:rPr>
        <w:t>Izuzetni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rizici</w:t>
      </w:r>
      <w:proofErr w:type="spellEnd"/>
    </w:p>
    <w:p w:rsidR="00311E17" w:rsidRDefault="009153D5" w:rsidP="00311E17">
      <w:pPr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t>21.4</w:t>
      </w:r>
      <w:r>
        <w:rPr>
          <w:sz w:val="22"/>
          <w:szCs w:val="22"/>
        </w:rPr>
        <w:tab/>
      </w:r>
      <w:proofErr w:type="spellStart"/>
      <w:r w:rsidR="00311E17" w:rsidRPr="00311E17">
        <w:rPr>
          <w:sz w:val="22"/>
          <w:szCs w:val="22"/>
        </w:rPr>
        <w:t>Ako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su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vremenski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uslovi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osnov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za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zahtjev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za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dodatno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vrijeme</w:t>
      </w:r>
      <w:proofErr w:type="spellEnd"/>
      <w:r w:rsidR="00311E17" w:rsidRPr="00311E17">
        <w:rPr>
          <w:sz w:val="22"/>
          <w:szCs w:val="22"/>
        </w:rPr>
        <w:t xml:space="preserve">, </w:t>
      </w:r>
      <w:proofErr w:type="spellStart"/>
      <w:r w:rsidR="00311E17" w:rsidRPr="00311E17">
        <w:rPr>
          <w:sz w:val="22"/>
          <w:szCs w:val="22"/>
        </w:rPr>
        <w:t>takvi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zahtjevi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proofErr w:type="gramStart"/>
      <w:r w:rsidR="00311E17" w:rsidRPr="00311E17">
        <w:rPr>
          <w:sz w:val="22"/>
          <w:szCs w:val="22"/>
        </w:rPr>
        <w:t>će</w:t>
      </w:r>
      <w:proofErr w:type="spellEnd"/>
      <w:proofErr w:type="gramEnd"/>
      <w:r w:rsidR="00311E17" w:rsidRPr="00311E17">
        <w:rPr>
          <w:sz w:val="22"/>
          <w:szCs w:val="22"/>
        </w:rPr>
        <w:t xml:space="preserve"> se </w:t>
      </w:r>
      <w:proofErr w:type="spellStart"/>
      <w:r w:rsidR="00311E17" w:rsidRPr="00311E17">
        <w:rPr>
          <w:sz w:val="22"/>
          <w:szCs w:val="22"/>
        </w:rPr>
        <w:t>dokumentovati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podacima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koji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potvrđuju</w:t>
      </w:r>
      <w:proofErr w:type="spellEnd"/>
      <w:r w:rsidR="00311E17" w:rsidRPr="00311E17">
        <w:rPr>
          <w:sz w:val="22"/>
          <w:szCs w:val="22"/>
        </w:rPr>
        <w:t xml:space="preserve"> da </w:t>
      </w:r>
      <w:proofErr w:type="spellStart"/>
      <w:r w:rsidR="00311E17" w:rsidRPr="00311E17">
        <w:rPr>
          <w:sz w:val="22"/>
          <w:szCs w:val="22"/>
        </w:rPr>
        <w:t>su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vremenski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uslovi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bili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nenormalni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za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vremenski</w:t>
      </w:r>
      <w:proofErr w:type="spellEnd"/>
      <w:r w:rsidR="00311E17" w:rsidRPr="00311E17">
        <w:rPr>
          <w:sz w:val="22"/>
          <w:szCs w:val="22"/>
        </w:rPr>
        <w:t xml:space="preserve"> period, da se </w:t>
      </w:r>
      <w:proofErr w:type="spellStart"/>
      <w:r w:rsidR="00311E17" w:rsidRPr="00311E17">
        <w:rPr>
          <w:sz w:val="22"/>
          <w:szCs w:val="22"/>
        </w:rPr>
        <w:t>nisu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mogli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razumno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predvidjeti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i</w:t>
      </w:r>
      <w:proofErr w:type="spellEnd"/>
      <w:r w:rsidR="00311E17" w:rsidRPr="00311E17">
        <w:rPr>
          <w:sz w:val="22"/>
          <w:szCs w:val="22"/>
        </w:rPr>
        <w:t xml:space="preserve"> da </w:t>
      </w:r>
      <w:proofErr w:type="spellStart"/>
      <w:r w:rsidR="00311E17" w:rsidRPr="00311E17">
        <w:rPr>
          <w:sz w:val="22"/>
          <w:szCs w:val="22"/>
        </w:rPr>
        <w:t>su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štetno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uticali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na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planirane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radove</w:t>
      </w:r>
      <w:proofErr w:type="spellEnd"/>
      <w:r w:rsidR="00311E17" w:rsidRPr="00311E17">
        <w:rPr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34</w:t>
      </w:r>
      <w:r>
        <w:rPr>
          <w:b/>
        </w:rPr>
        <w:tab/>
        <w:t xml:space="preserve">Period </w:t>
      </w:r>
      <w:proofErr w:type="spellStart"/>
      <w:r>
        <w:rPr>
          <w:b/>
        </w:rPr>
        <w:t>realizacije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zadataka</w:t>
      </w:r>
      <w:proofErr w:type="spellEnd"/>
    </w:p>
    <w:p w:rsidR="00004C03" w:rsidRPr="00347EEC" w:rsidRDefault="009153D5" w:rsidP="00004C03">
      <w:pPr>
        <w:pStyle w:val="Title"/>
        <w:ind w:left="1276" w:hanging="709"/>
        <w:jc w:val="both"/>
        <w:rPr>
          <w:rFonts w:ascii="Times New Roman" w:hAnsi="Times New Roman"/>
          <w:b w:val="0"/>
          <w:bCs/>
          <w:sz w:val="22"/>
          <w:szCs w:val="22"/>
        </w:rPr>
      </w:pPr>
      <w:bookmarkStart w:id="5" w:name="_1ksv4uv" w:colFirst="0" w:colLast="0"/>
      <w:bookmarkEnd w:id="5"/>
      <w:r>
        <w:rPr>
          <w:rFonts w:ascii="Times New Roman" w:eastAsia="Times New Roman" w:hAnsi="Times New Roman" w:cs="Times New Roman"/>
          <w:b w:val="0"/>
          <w:sz w:val="22"/>
          <w:szCs w:val="22"/>
        </w:rPr>
        <w:t>34.1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Period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sprovođenja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zadataka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je </w:t>
      </w:r>
      <w:r w:rsidR="00004C03" w:rsidRPr="00EF1A06">
        <w:rPr>
          <w:rFonts w:ascii="Times New Roman" w:hAnsi="Times New Roman"/>
          <w:b w:val="0"/>
          <w:bCs/>
          <w:color w:val="FF0000"/>
          <w:sz w:val="22"/>
          <w:szCs w:val="22"/>
        </w:rPr>
        <w:t>426</w:t>
      </w:r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kalendarskih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dana od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datuma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početka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navedenog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u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administrativnom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nalogu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izdatom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u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skladu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sa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članom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33.1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opštih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uslova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nakon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čega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sledi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dvanaest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(12)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meseci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perioda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odgovornosti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za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nedostatke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, bez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prejudiciranja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produženja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roka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koja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se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mogu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odobriti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prema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>članu</w:t>
      </w:r>
      <w:proofErr w:type="spellEnd"/>
      <w:r w:rsidR="00004C03" w:rsidRPr="00347EEC">
        <w:rPr>
          <w:rFonts w:ascii="Times New Roman" w:hAnsi="Times New Roman"/>
          <w:b w:val="0"/>
          <w:bCs/>
          <w:sz w:val="22"/>
          <w:szCs w:val="22"/>
        </w:rPr>
        <w:t xml:space="preserve"> 35.</w:t>
      </w:r>
    </w:p>
    <w:p w:rsidR="00004C03" w:rsidRPr="00347EEC" w:rsidRDefault="00004C03" w:rsidP="00004C03">
      <w:pPr>
        <w:pStyle w:val="Title"/>
        <w:ind w:left="1276" w:hanging="709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347EEC">
        <w:rPr>
          <w:rFonts w:ascii="Times New Roman" w:hAnsi="Times New Roman"/>
          <w:b w:val="0"/>
          <w:bCs/>
          <w:sz w:val="22"/>
          <w:szCs w:val="22"/>
        </w:rPr>
        <w:tab/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Radno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vrijeme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gradilišta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proofErr w:type="gramStart"/>
      <w:r w:rsidRPr="00347EEC">
        <w:rPr>
          <w:rFonts w:ascii="Times New Roman" w:hAnsi="Times New Roman"/>
          <w:b w:val="0"/>
          <w:bCs/>
          <w:sz w:val="22"/>
          <w:szCs w:val="22"/>
        </w:rPr>
        <w:t>će</w:t>
      </w:r>
      <w:proofErr w:type="spellEnd"/>
      <w:proofErr w:type="gram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biti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ograničeno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u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skladu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sa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važećim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zakonodavstvom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u </w:t>
      </w:r>
      <w:proofErr w:type="spellStart"/>
      <w:r w:rsidR="00EF1A06">
        <w:rPr>
          <w:rFonts w:ascii="Times New Roman" w:hAnsi="Times New Roman"/>
          <w:b w:val="0"/>
          <w:bCs/>
          <w:sz w:val="22"/>
          <w:szCs w:val="22"/>
        </w:rPr>
        <w:t>Republici</w:t>
      </w:r>
      <w:proofErr w:type="spellEnd"/>
      <w:r w:rsidR="00EF1A0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="00EF1A06">
        <w:rPr>
          <w:rFonts w:ascii="Times New Roman" w:hAnsi="Times New Roman"/>
          <w:b w:val="0"/>
          <w:bCs/>
          <w:sz w:val="22"/>
          <w:szCs w:val="22"/>
        </w:rPr>
        <w:t>Srpskoj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osim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ako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ugovorom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nije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drugačije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navedeno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>.</w:t>
      </w:r>
    </w:p>
    <w:p w:rsidR="00004C03" w:rsidRPr="00347EEC" w:rsidRDefault="00004C03" w:rsidP="00004C03">
      <w:pPr>
        <w:pStyle w:val="Title"/>
        <w:ind w:left="1276" w:hanging="709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347EEC">
        <w:rPr>
          <w:rFonts w:ascii="Times New Roman" w:hAnsi="Times New Roman"/>
          <w:b w:val="0"/>
          <w:bCs/>
          <w:sz w:val="22"/>
          <w:szCs w:val="22"/>
        </w:rPr>
        <w:tab/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Državni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praznici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neće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se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smatrati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razlozima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za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produženje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roka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iz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člana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35.</w:t>
      </w:r>
    </w:p>
    <w:p w:rsidR="00004C03" w:rsidRPr="00021EB3" w:rsidRDefault="00004C03" w:rsidP="00004C03">
      <w:pPr>
        <w:pStyle w:val="Title"/>
        <w:ind w:left="1276" w:hanging="709"/>
        <w:jc w:val="both"/>
        <w:rPr>
          <w:rFonts w:ascii="Times New Roman" w:hAnsi="Times New Roman"/>
          <w:b w:val="0"/>
          <w:smallCaps/>
          <w:sz w:val="22"/>
          <w:szCs w:val="22"/>
        </w:rPr>
      </w:pPr>
      <w:r w:rsidRPr="00347EEC">
        <w:rPr>
          <w:rFonts w:ascii="Times New Roman" w:hAnsi="Times New Roman"/>
          <w:b w:val="0"/>
          <w:bCs/>
          <w:sz w:val="22"/>
          <w:szCs w:val="22"/>
        </w:rPr>
        <w:tab/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Ako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je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najavljeni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državni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praznik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u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nedjelju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,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onda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se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praznik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pomjera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za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sljedeći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ponedjeljak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.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Izvođač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proofErr w:type="gramStart"/>
      <w:r w:rsidRPr="00347EEC">
        <w:rPr>
          <w:rFonts w:ascii="Times New Roman" w:hAnsi="Times New Roman"/>
          <w:b w:val="0"/>
          <w:bCs/>
          <w:sz w:val="22"/>
          <w:szCs w:val="22"/>
        </w:rPr>
        <w:t>će</w:t>
      </w:r>
      <w:proofErr w:type="spellEnd"/>
      <w:proofErr w:type="gram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programirati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svoje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radove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tako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da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uzmu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u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obzir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ove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državne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proofErr w:type="spellStart"/>
      <w:r w:rsidRPr="00347EEC">
        <w:rPr>
          <w:rFonts w:ascii="Times New Roman" w:hAnsi="Times New Roman"/>
          <w:b w:val="0"/>
          <w:bCs/>
          <w:sz w:val="22"/>
          <w:szCs w:val="22"/>
        </w:rPr>
        <w:t>praznike</w:t>
      </w:r>
      <w:proofErr w:type="spellEnd"/>
      <w:r w:rsidRPr="00347EEC">
        <w:rPr>
          <w:rFonts w:ascii="Times New Roman" w:hAnsi="Times New Roman"/>
          <w:b w:val="0"/>
          <w:bCs/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36</w:t>
      </w:r>
      <w:r>
        <w:rPr>
          <w:b/>
        </w:rPr>
        <w:tab/>
      </w:r>
      <w:proofErr w:type="spellStart"/>
      <w:r>
        <w:rPr>
          <w:b/>
        </w:rPr>
        <w:t>Kašnjenja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realizaciji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zadataka</w:t>
      </w:r>
      <w:proofErr w:type="spellEnd"/>
    </w:p>
    <w:p w:rsidR="00166194" w:rsidRDefault="009153D5" w:rsidP="00311E17">
      <w:pPr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t>36.1</w:t>
      </w:r>
      <w:r>
        <w:rPr>
          <w:sz w:val="22"/>
          <w:szCs w:val="22"/>
        </w:rPr>
        <w:tab/>
      </w:r>
      <w:proofErr w:type="spellStart"/>
      <w:r w:rsidR="00311E17" w:rsidRPr="00DD5312">
        <w:rPr>
          <w:sz w:val="22"/>
          <w:szCs w:val="22"/>
        </w:rPr>
        <w:t>Stopa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likvidirane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štete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za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kašnjenje</w:t>
      </w:r>
      <w:proofErr w:type="spellEnd"/>
      <w:r w:rsidR="00311E17" w:rsidRPr="00DD5312">
        <w:rPr>
          <w:sz w:val="22"/>
          <w:szCs w:val="22"/>
        </w:rPr>
        <w:t xml:space="preserve"> u </w:t>
      </w:r>
      <w:proofErr w:type="spellStart"/>
      <w:r w:rsidR="00311E17" w:rsidRPr="00DD5312">
        <w:rPr>
          <w:sz w:val="22"/>
          <w:szCs w:val="22"/>
        </w:rPr>
        <w:t>završetku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radova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iznosi</w:t>
      </w:r>
      <w:proofErr w:type="spellEnd"/>
      <w:r w:rsidR="00311E17" w:rsidRPr="00DD5312">
        <w:rPr>
          <w:sz w:val="22"/>
          <w:szCs w:val="22"/>
        </w:rPr>
        <w:t xml:space="preserve"> 0</w:t>
      </w:r>
      <w:proofErr w:type="gramStart"/>
      <w:r w:rsidR="00311E17" w:rsidRPr="00DD5312">
        <w:rPr>
          <w:sz w:val="22"/>
          <w:szCs w:val="22"/>
        </w:rPr>
        <w:t>,1</w:t>
      </w:r>
      <w:proofErr w:type="gramEnd"/>
      <w:r w:rsidR="00311E17" w:rsidRPr="00DD5312">
        <w:rPr>
          <w:sz w:val="22"/>
          <w:szCs w:val="22"/>
        </w:rPr>
        <w:t xml:space="preserve">% </w:t>
      </w:r>
      <w:proofErr w:type="spellStart"/>
      <w:r w:rsidR="00311E17" w:rsidRPr="00DD5312">
        <w:rPr>
          <w:sz w:val="22"/>
          <w:szCs w:val="22"/>
        </w:rPr>
        <w:t>ugovorne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cijene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za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svaki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dan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ili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njegov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dio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koji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protekne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od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kraja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perioda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realizacije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zadataka</w:t>
      </w:r>
      <w:proofErr w:type="spellEnd"/>
      <w:r w:rsidR="00311E17" w:rsidRPr="00DD5312">
        <w:rPr>
          <w:sz w:val="22"/>
          <w:szCs w:val="22"/>
        </w:rPr>
        <w:t xml:space="preserve"> do </w:t>
      </w:r>
      <w:proofErr w:type="spellStart"/>
      <w:r w:rsidR="00311E17" w:rsidRPr="00DD5312">
        <w:rPr>
          <w:sz w:val="22"/>
          <w:szCs w:val="22"/>
        </w:rPr>
        <w:t>stvarnog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datuma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završetka</w:t>
      </w:r>
      <w:proofErr w:type="spellEnd"/>
      <w:r w:rsidR="00311E17" w:rsidRPr="00DD5312">
        <w:rPr>
          <w:sz w:val="22"/>
          <w:szCs w:val="22"/>
        </w:rPr>
        <w:t xml:space="preserve">, do </w:t>
      </w:r>
      <w:proofErr w:type="spellStart"/>
      <w:r w:rsidR="00311E17" w:rsidRPr="00DD5312">
        <w:rPr>
          <w:sz w:val="22"/>
          <w:szCs w:val="22"/>
        </w:rPr>
        <w:t>maksimalnog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iznosa</w:t>
      </w:r>
      <w:proofErr w:type="spellEnd"/>
      <w:r w:rsidR="00311E17" w:rsidRPr="00DD5312">
        <w:rPr>
          <w:sz w:val="22"/>
          <w:szCs w:val="22"/>
        </w:rPr>
        <w:t xml:space="preserve"> od 10% </w:t>
      </w:r>
      <w:proofErr w:type="spellStart"/>
      <w:r w:rsidR="00311E17" w:rsidRPr="00DD5312">
        <w:rPr>
          <w:sz w:val="22"/>
          <w:szCs w:val="22"/>
        </w:rPr>
        <w:t>ugovorne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cijene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ili</w:t>
      </w:r>
      <w:proofErr w:type="spellEnd"/>
      <w:r w:rsidR="00311E17" w:rsidRPr="00DD5312">
        <w:rPr>
          <w:sz w:val="22"/>
          <w:szCs w:val="22"/>
        </w:rPr>
        <w:t xml:space="preserve">, </w:t>
      </w:r>
      <w:proofErr w:type="spellStart"/>
      <w:r w:rsidR="00311E17" w:rsidRPr="00DD5312">
        <w:rPr>
          <w:sz w:val="22"/>
          <w:szCs w:val="22"/>
        </w:rPr>
        <w:t>ako</w:t>
      </w:r>
      <w:proofErr w:type="spellEnd"/>
      <w:r w:rsidR="00311E17" w:rsidRPr="00DD5312">
        <w:rPr>
          <w:sz w:val="22"/>
          <w:szCs w:val="22"/>
        </w:rPr>
        <w:t xml:space="preserve"> je </w:t>
      </w:r>
      <w:proofErr w:type="spellStart"/>
      <w:r w:rsidR="00311E17" w:rsidRPr="00DD5312">
        <w:rPr>
          <w:sz w:val="22"/>
          <w:szCs w:val="22"/>
        </w:rPr>
        <w:t>ugovor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podijeljen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na</w:t>
      </w:r>
      <w:proofErr w:type="spellEnd"/>
      <w:r w:rsidR="00311E17" w:rsidRPr="00DD5312">
        <w:rPr>
          <w:sz w:val="22"/>
          <w:szCs w:val="22"/>
        </w:rPr>
        <w:t xml:space="preserve"> faze, 10% </w:t>
      </w:r>
      <w:proofErr w:type="spellStart"/>
      <w:r w:rsidR="00311E17" w:rsidRPr="00DD5312">
        <w:rPr>
          <w:sz w:val="22"/>
          <w:szCs w:val="22"/>
        </w:rPr>
        <w:t>cijene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koja</w:t>
      </w:r>
      <w:proofErr w:type="spellEnd"/>
      <w:r w:rsidR="00311E17" w:rsidRPr="00DD5312">
        <w:rPr>
          <w:sz w:val="22"/>
          <w:szCs w:val="22"/>
        </w:rPr>
        <w:t xml:space="preserve"> se </w:t>
      </w:r>
      <w:proofErr w:type="spellStart"/>
      <w:r w:rsidR="00311E17" w:rsidRPr="00DD5312">
        <w:rPr>
          <w:sz w:val="22"/>
          <w:szCs w:val="22"/>
        </w:rPr>
        <w:t>odnosi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na</w:t>
      </w:r>
      <w:proofErr w:type="spellEnd"/>
      <w:r w:rsidR="00311E17" w:rsidRPr="00DD5312">
        <w:rPr>
          <w:sz w:val="22"/>
          <w:szCs w:val="22"/>
        </w:rPr>
        <w:t xml:space="preserve"> </w:t>
      </w:r>
      <w:proofErr w:type="spellStart"/>
      <w:r w:rsidR="00311E17" w:rsidRPr="00DD5312">
        <w:rPr>
          <w:sz w:val="22"/>
          <w:szCs w:val="22"/>
        </w:rPr>
        <w:t>fazu</w:t>
      </w:r>
      <w:proofErr w:type="spellEnd"/>
      <w:r w:rsidR="00311E17" w:rsidRPr="00DD5312">
        <w:rPr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39</w:t>
      </w:r>
      <w:r>
        <w:rPr>
          <w:b/>
        </w:rPr>
        <w:tab/>
      </w:r>
      <w:proofErr w:type="spellStart"/>
      <w:r>
        <w:rPr>
          <w:b/>
        </w:rPr>
        <w:t>Radni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registar</w:t>
      </w:r>
      <w:proofErr w:type="spellEnd"/>
    </w:p>
    <w:p w:rsidR="00311E17" w:rsidRPr="00347EEC" w:rsidRDefault="00311E17" w:rsidP="00311E17">
      <w:pPr>
        <w:spacing w:before="120" w:after="120"/>
        <w:ind w:left="1276" w:hanging="709"/>
        <w:jc w:val="both"/>
        <w:rPr>
          <w:bCs/>
          <w:sz w:val="22"/>
          <w:szCs w:val="22"/>
        </w:rPr>
      </w:pPr>
      <w:r w:rsidRPr="00347EEC">
        <w:rPr>
          <w:bCs/>
          <w:sz w:val="22"/>
          <w:szCs w:val="22"/>
        </w:rPr>
        <w:t>39.1</w:t>
      </w:r>
      <w:r w:rsidRPr="00347EEC">
        <w:rPr>
          <w:bCs/>
          <w:sz w:val="22"/>
          <w:szCs w:val="22"/>
        </w:rPr>
        <w:tab/>
      </w:r>
      <w:proofErr w:type="spellStart"/>
      <w:r w:rsidRPr="00347EEC">
        <w:rPr>
          <w:bCs/>
          <w:sz w:val="22"/>
          <w:szCs w:val="22"/>
        </w:rPr>
        <w:t>Izvođač</w:t>
      </w:r>
      <w:proofErr w:type="spellEnd"/>
      <w:r w:rsidRPr="00347EEC">
        <w:rPr>
          <w:bCs/>
          <w:sz w:val="22"/>
          <w:szCs w:val="22"/>
        </w:rPr>
        <w:t xml:space="preserve">, u </w:t>
      </w:r>
      <w:proofErr w:type="spellStart"/>
      <w:r w:rsidRPr="00347EEC">
        <w:rPr>
          <w:bCs/>
          <w:sz w:val="22"/>
          <w:szCs w:val="22"/>
        </w:rPr>
        <w:t>skladu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proofErr w:type="gramStart"/>
      <w:r w:rsidRPr="00347EEC">
        <w:rPr>
          <w:bCs/>
          <w:sz w:val="22"/>
          <w:szCs w:val="22"/>
        </w:rPr>
        <w:t>sa</w:t>
      </w:r>
      <w:proofErr w:type="spellEnd"/>
      <w:proofErr w:type="gram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obavezama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Zakona</w:t>
      </w:r>
      <w:proofErr w:type="spellEnd"/>
      <w:r w:rsidRPr="00347EEC">
        <w:rPr>
          <w:bCs/>
          <w:sz w:val="22"/>
          <w:szCs w:val="22"/>
        </w:rPr>
        <w:t xml:space="preserve"> o </w:t>
      </w:r>
      <w:proofErr w:type="spellStart"/>
      <w:r w:rsidRPr="00347EEC">
        <w:rPr>
          <w:bCs/>
          <w:sz w:val="22"/>
          <w:szCs w:val="22"/>
        </w:rPr>
        <w:t>uređenju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prostora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građenju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objekata</w:t>
      </w:r>
      <w:proofErr w:type="spellEnd"/>
      <w:r w:rsidRPr="00347EEC">
        <w:rPr>
          <w:bCs/>
          <w:sz w:val="22"/>
          <w:szCs w:val="22"/>
        </w:rPr>
        <w:t xml:space="preserve"> („</w:t>
      </w:r>
      <w:proofErr w:type="spellStart"/>
      <w:r w:rsidRPr="00347EEC">
        <w:rPr>
          <w:bCs/>
          <w:sz w:val="22"/>
          <w:szCs w:val="22"/>
        </w:rPr>
        <w:t>Službeni</w:t>
      </w:r>
      <w:proofErr w:type="spellEnd"/>
      <w:r w:rsidRPr="00347EEC">
        <w:rPr>
          <w:bCs/>
          <w:sz w:val="22"/>
          <w:szCs w:val="22"/>
        </w:rPr>
        <w:t xml:space="preserve"> list </w:t>
      </w:r>
      <w:r w:rsidR="00EF1A06">
        <w:rPr>
          <w:bCs/>
          <w:sz w:val="22"/>
          <w:szCs w:val="22"/>
        </w:rPr>
        <w:t>RS –</w:t>
      </w:r>
      <w:proofErr w:type="spellStart"/>
      <w:r w:rsidR="00EF1A06">
        <w:rPr>
          <w:bCs/>
          <w:sz w:val="22"/>
          <w:szCs w:val="22"/>
        </w:rPr>
        <w:t>BiH</w:t>
      </w:r>
      <w:proofErr w:type="spellEnd"/>
      <w:r w:rsidR="00EF1A06">
        <w:rPr>
          <w:bCs/>
          <w:sz w:val="22"/>
          <w:szCs w:val="22"/>
        </w:rPr>
        <w:t xml:space="preserve">     </w:t>
      </w:r>
      <w:r w:rsidRPr="00347EEC">
        <w:rPr>
          <w:bCs/>
          <w:sz w:val="22"/>
          <w:szCs w:val="22"/>
        </w:rPr>
        <w:t xml:space="preserve">) </w:t>
      </w:r>
      <w:proofErr w:type="spellStart"/>
      <w:r w:rsidRPr="00347EEC">
        <w:rPr>
          <w:bCs/>
          <w:sz w:val="22"/>
          <w:szCs w:val="22"/>
        </w:rPr>
        <w:t>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njegovim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podzakonskim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aktima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vodi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evidenciju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radova</w:t>
      </w:r>
      <w:proofErr w:type="spellEnd"/>
      <w:r w:rsidRPr="00347EEC">
        <w:rPr>
          <w:bCs/>
          <w:sz w:val="22"/>
          <w:szCs w:val="22"/>
        </w:rPr>
        <w:t xml:space="preserve">. </w:t>
      </w:r>
      <w:proofErr w:type="spellStart"/>
      <w:r w:rsidRPr="00347EEC">
        <w:rPr>
          <w:bCs/>
          <w:sz w:val="22"/>
          <w:szCs w:val="22"/>
        </w:rPr>
        <w:t>Radni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registar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proofErr w:type="gramStart"/>
      <w:r w:rsidRPr="00347EEC">
        <w:rPr>
          <w:bCs/>
          <w:sz w:val="22"/>
          <w:szCs w:val="22"/>
        </w:rPr>
        <w:t>će</w:t>
      </w:r>
      <w:proofErr w:type="spellEnd"/>
      <w:proofErr w:type="gram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gradilištu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voditi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Izvođač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koji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će</w:t>
      </w:r>
      <w:proofErr w:type="spellEnd"/>
      <w:r w:rsidRPr="00347EEC">
        <w:rPr>
          <w:bCs/>
          <w:sz w:val="22"/>
          <w:szCs w:val="22"/>
        </w:rPr>
        <w:t xml:space="preserve"> u </w:t>
      </w:r>
      <w:proofErr w:type="spellStart"/>
      <w:r w:rsidRPr="00347EEC">
        <w:rPr>
          <w:bCs/>
          <w:sz w:val="22"/>
          <w:szCs w:val="22"/>
        </w:rPr>
        <w:t>njega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unijeti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najmanje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sljedeće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podatke</w:t>
      </w:r>
      <w:proofErr w:type="spellEnd"/>
      <w:r w:rsidRPr="00347EEC">
        <w:rPr>
          <w:bCs/>
          <w:sz w:val="22"/>
          <w:szCs w:val="22"/>
        </w:rPr>
        <w:t>:</w:t>
      </w:r>
    </w:p>
    <w:p w:rsidR="00311E17" w:rsidRPr="00347EEC" w:rsidRDefault="00311E17" w:rsidP="00311E17">
      <w:pPr>
        <w:spacing w:before="120" w:after="120"/>
        <w:ind w:left="1276" w:hanging="709"/>
        <w:jc w:val="both"/>
        <w:rPr>
          <w:bCs/>
          <w:sz w:val="22"/>
          <w:szCs w:val="22"/>
        </w:rPr>
      </w:pPr>
      <w:proofErr w:type="gramStart"/>
      <w:r w:rsidRPr="00347EEC">
        <w:rPr>
          <w:bCs/>
          <w:sz w:val="22"/>
          <w:szCs w:val="22"/>
        </w:rPr>
        <w:t>a</w:t>
      </w:r>
      <w:proofErr w:type="gramEnd"/>
      <w:r w:rsidRPr="00347EEC">
        <w:rPr>
          <w:bCs/>
          <w:sz w:val="22"/>
          <w:szCs w:val="22"/>
        </w:rPr>
        <w:t>)</w:t>
      </w:r>
      <w:r w:rsidRPr="00347EEC">
        <w:rPr>
          <w:bCs/>
          <w:sz w:val="22"/>
          <w:szCs w:val="22"/>
        </w:rPr>
        <w:tab/>
      </w:r>
      <w:proofErr w:type="spellStart"/>
      <w:r w:rsidRPr="00347EEC">
        <w:rPr>
          <w:bCs/>
          <w:sz w:val="22"/>
          <w:szCs w:val="22"/>
        </w:rPr>
        <w:t>Građevinski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dnevnik”Građevinski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dnevnik</w:t>
      </w:r>
      <w:proofErr w:type="spellEnd"/>
      <w:r w:rsidRPr="00347EEC">
        <w:rPr>
          <w:bCs/>
          <w:sz w:val="22"/>
          <w:szCs w:val="22"/>
        </w:rPr>
        <w:t xml:space="preserve">” - </w:t>
      </w:r>
      <w:proofErr w:type="spellStart"/>
      <w:r w:rsidRPr="00347EEC">
        <w:rPr>
          <w:bCs/>
          <w:sz w:val="22"/>
          <w:szCs w:val="22"/>
        </w:rPr>
        <w:t>vremenske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prilike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prekidi</w:t>
      </w:r>
      <w:proofErr w:type="spellEnd"/>
      <w:r w:rsidRPr="00347EEC">
        <w:rPr>
          <w:bCs/>
          <w:sz w:val="22"/>
          <w:szCs w:val="22"/>
        </w:rPr>
        <w:t xml:space="preserve"> u </w:t>
      </w:r>
      <w:proofErr w:type="spellStart"/>
      <w:r w:rsidRPr="00347EEC">
        <w:rPr>
          <w:bCs/>
          <w:sz w:val="22"/>
          <w:szCs w:val="22"/>
        </w:rPr>
        <w:t>radu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zbog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vremenskih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nepogoda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radno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vrijeme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broj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vrsta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radnika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zaposlenih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gradilištu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isporučeni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materijal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oprema</w:t>
      </w:r>
      <w:proofErr w:type="spellEnd"/>
      <w:r w:rsidRPr="00347EEC">
        <w:rPr>
          <w:bCs/>
          <w:sz w:val="22"/>
          <w:szCs w:val="22"/>
        </w:rPr>
        <w:t xml:space="preserve"> u </w:t>
      </w:r>
      <w:proofErr w:type="spellStart"/>
      <w:r w:rsidRPr="00347EEC">
        <w:rPr>
          <w:bCs/>
          <w:sz w:val="22"/>
          <w:szCs w:val="22"/>
        </w:rPr>
        <w:t>upotrebi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oprema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koja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nije</w:t>
      </w:r>
      <w:proofErr w:type="spellEnd"/>
      <w:r w:rsidRPr="00347EEC">
        <w:rPr>
          <w:bCs/>
          <w:sz w:val="22"/>
          <w:szCs w:val="22"/>
        </w:rPr>
        <w:t xml:space="preserve"> u </w:t>
      </w:r>
      <w:proofErr w:type="spellStart"/>
      <w:r w:rsidRPr="00347EEC">
        <w:rPr>
          <w:bCs/>
          <w:sz w:val="22"/>
          <w:szCs w:val="22"/>
        </w:rPr>
        <w:t>ispravnom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stanju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ispitivanja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obavljena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licu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mjesta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poslani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uzorci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nepredviđene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okolnosti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sigurnost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nalozi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Izvođača</w:t>
      </w:r>
      <w:proofErr w:type="spellEnd"/>
      <w:r w:rsidRPr="00347EEC">
        <w:rPr>
          <w:bCs/>
          <w:sz w:val="22"/>
          <w:szCs w:val="22"/>
        </w:rPr>
        <w:t>;</w:t>
      </w:r>
    </w:p>
    <w:p w:rsidR="00311E17" w:rsidRPr="00347EEC" w:rsidRDefault="00311E17" w:rsidP="00311E17">
      <w:pPr>
        <w:spacing w:before="120" w:after="120"/>
        <w:ind w:left="1276" w:hanging="709"/>
        <w:jc w:val="both"/>
        <w:rPr>
          <w:bCs/>
          <w:sz w:val="22"/>
          <w:szCs w:val="22"/>
        </w:rPr>
      </w:pPr>
      <w:r w:rsidRPr="00347EEC">
        <w:rPr>
          <w:bCs/>
          <w:sz w:val="22"/>
          <w:szCs w:val="22"/>
        </w:rPr>
        <w:t>b)</w:t>
      </w:r>
      <w:r w:rsidRPr="00347EEC">
        <w:rPr>
          <w:bCs/>
          <w:sz w:val="22"/>
          <w:szCs w:val="22"/>
        </w:rPr>
        <w:tab/>
      </w:r>
      <w:proofErr w:type="spellStart"/>
      <w:proofErr w:type="gramStart"/>
      <w:r w:rsidRPr="00347EEC">
        <w:rPr>
          <w:bCs/>
          <w:sz w:val="22"/>
          <w:szCs w:val="22"/>
        </w:rPr>
        <w:t>knjiga</w:t>
      </w:r>
      <w:proofErr w:type="spellEnd"/>
      <w:proofErr w:type="gram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merenja”Građevinska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knjiga</w:t>
      </w:r>
      <w:proofErr w:type="spellEnd"/>
      <w:r w:rsidRPr="00347EEC">
        <w:rPr>
          <w:bCs/>
          <w:sz w:val="22"/>
          <w:szCs w:val="22"/>
        </w:rPr>
        <w:t xml:space="preserve">” - </w:t>
      </w:r>
      <w:proofErr w:type="spellStart"/>
      <w:r w:rsidRPr="00347EEC">
        <w:rPr>
          <w:bCs/>
          <w:sz w:val="22"/>
          <w:szCs w:val="22"/>
        </w:rPr>
        <w:t>detaljni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prikazi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svih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kvantitativnih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kvalitativnih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elemenata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obavljenog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posla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isporučenih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korištenih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zaliha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r w:rsidRPr="00347EEC">
        <w:rPr>
          <w:bCs/>
          <w:sz w:val="22"/>
          <w:szCs w:val="22"/>
        </w:rPr>
        <w:t>koji</w:t>
      </w:r>
      <w:proofErr w:type="spellEnd"/>
      <w:r w:rsidRPr="00347EEC">
        <w:rPr>
          <w:bCs/>
          <w:sz w:val="22"/>
          <w:szCs w:val="22"/>
        </w:rPr>
        <w:t xml:space="preserve"> se </w:t>
      </w:r>
      <w:proofErr w:type="spellStart"/>
      <w:r w:rsidRPr="00347EEC">
        <w:rPr>
          <w:bCs/>
          <w:sz w:val="22"/>
          <w:szCs w:val="22"/>
        </w:rPr>
        <w:t>mogu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provjeriti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gradilištu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relevantni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za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obračun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plaćanja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Izvođaču</w:t>
      </w:r>
      <w:proofErr w:type="spellEnd"/>
      <w:r w:rsidRPr="00347EEC">
        <w:rPr>
          <w:bCs/>
          <w:sz w:val="22"/>
          <w:szCs w:val="22"/>
        </w:rPr>
        <w:t>.</w:t>
      </w:r>
    </w:p>
    <w:p w:rsidR="00311E17" w:rsidRPr="00347EEC" w:rsidRDefault="00311E17" w:rsidP="00311E17">
      <w:pPr>
        <w:spacing w:before="120" w:after="120"/>
        <w:ind w:left="1276" w:hanging="709"/>
        <w:jc w:val="both"/>
        <w:rPr>
          <w:bCs/>
          <w:sz w:val="22"/>
          <w:szCs w:val="22"/>
        </w:rPr>
      </w:pPr>
      <w:proofErr w:type="spellStart"/>
      <w:r w:rsidRPr="00347EEC">
        <w:rPr>
          <w:bCs/>
          <w:sz w:val="22"/>
          <w:szCs w:val="22"/>
        </w:rPr>
        <w:t>R</w:t>
      </w:r>
      <w:r w:rsidR="00EF1A06">
        <w:rPr>
          <w:bCs/>
          <w:sz w:val="22"/>
          <w:szCs w:val="22"/>
        </w:rPr>
        <w:t>adna</w:t>
      </w:r>
      <w:proofErr w:type="spellEnd"/>
      <w:r w:rsidR="00EF1A06">
        <w:rPr>
          <w:bCs/>
          <w:sz w:val="22"/>
          <w:szCs w:val="22"/>
        </w:rPr>
        <w:t xml:space="preserve"> </w:t>
      </w:r>
      <w:proofErr w:type="spellStart"/>
      <w:r w:rsidR="00EF1A06">
        <w:rPr>
          <w:bCs/>
          <w:sz w:val="22"/>
          <w:szCs w:val="22"/>
        </w:rPr>
        <w:t>knjiga</w:t>
      </w:r>
      <w:proofErr w:type="spellEnd"/>
      <w:r w:rsidR="00EF1A06">
        <w:rPr>
          <w:bCs/>
          <w:sz w:val="22"/>
          <w:szCs w:val="22"/>
        </w:rPr>
        <w:t xml:space="preserve"> </w:t>
      </w:r>
      <w:proofErr w:type="spellStart"/>
      <w:r w:rsidR="00EF1A06">
        <w:rPr>
          <w:bCs/>
          <w:sz w:val="22"/>
          <w:szCs w:val="22"/>
        </w:rPr>
        <w:t>vodi</w:t>
      </w:r>
      <w:proofErr w:type="spellEnd"/>
      <w:r w:rsidR="00EF1A06">
        <w:rPr>
          <w:bCs/>
          <w:sz w:val="22"/>
          <w:szCs w:val="22"/>
        </w:rPr>
        <w:t xml:space="preserve"> se </w:t>
      </w:r>
      <w:proofErr w:type="spellStart"/>
      <w:proofErr w:type="gramStart"/>
      <w:r w:rsidR="00EF1A06">
        <w:rPr>
          <w:bCs/>
          <w:sz w:val="22"/>
          <w:szCs w:val="22"/>
        </w:rPr>
        <w:t>na</w:t>
      </w:r>
      <w:proofErr w:type="spellEnd"/>
      <w:proofErr w:type="gramEnd"/>
      <w:r w:rsidR="00EF1A06">
        <w:rPr>
          <w:bCs/>
          <w:sz w:val="22"/>
          <w:szCs w:val="22"/>
        </w:rPr>
        <w:t xml:space="preserve"> </w:t>
      </w:r>
      <w:proofErr w:type="spellStart"/>
      <w:r w:rsidR="00EF1A06">
        <w:rPr>
          <w:bCs/>
          <w:sz w:val="22"/>
          <w:szCs w:val="22"/>
        </w:rPr>
        <w:t>srpskom</w:t>
      </w:r>
      <w:proofErr w:type="spellEnd"/>
      <w:r w:rsidR="00EF1A06">
        <w:rPr>
          <w:bCs/>
          <w:sz w:val="22"/>
          <w:szCs w:val="22"/>
        </w:rPr>
        <w:t xml:space="preserve"> </w:t>
      </w:r>
      <w:proofErr w:type="spellStart"/>
      <w:r w:rsidR="00EF1A06">
        <w:rPr>
          <w:bCs/>
          <w:sz w:val="22"/>
          <w:szCs w:val="22"/>
        </w:rPr>
        <w:t>jeziku</w:t>
      </w:r>
      <w:proofErr w:type="spellEnd"/>
      <w:r w:rsidRPr="00347EEC">
        <w:rPr>
          <w:bCs/>
          <w:sz w:val="22"/>
          <w:szCs w:val="22"/>
        </w:rPr>
        <w:t xml:space="preserve"> u </w:t>
      </w:r>
      <w:proofErr w:type="spellStart"/>
      <w:r w:rsidRPr="00347EEC">
        <w:rPr>
          <w:bCs/>
          <w:sz w:val="22"/>
          <w:szCs w:val="22"/>
        </w:rPr>
        <w:t>skladu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sa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lokalnim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zakonodavstvom</w:t>
      </w:r>
      <w:proofErr w:type="spellEnd"/>
      <w:r w:rsidRPr="00347EEC">
        <w:rPr>
          <w:bCs/>
          <w:sz w:val="22"/>
          <w:szCs w:val="22"/>
        </w:rPr>
        <w:t>.</w:t>
      </w:r>
    </w:p>
    <w:p w:rsidR="00311E17" w:rsidRPr="00A12DBD" w:rsidRDefault="00311E17" w:rsidP="00311E17">
      <w:pPr>
        <w:spacing w:before="120" w:after="120"/>
        <w:ind w:left="1276" w:hanging="709"/>
        <w:jc w:val="both"/>
        <w:rPr>
          <w:bCs/>
          <w:sz w:val="22"/>
          <w:szCs w:val="22"/>
        </w:rPr>
      </w:pPr>
      <w:r w:rsidRPr="00347EEC">
        <w:rPr>
          <w:bCs/>
          <w:sz w:val="22"/>
          <w:szCs w:val="22"/>
        </w:rPr>
        <w:t>39.2</w:t>
      </w:r>
      <w:r w:rsidRPr="00347EEC">
        <w:rPr>
          <w:bCs/>
          <w:sz w:val="22"/>
          <w:szCs w:val="22"/>
        </w:rPr>
        <w:tab/>
      </w:r>
      <w:proofErr w:type="spellStart"/>
      <w:r w:rsidRPr="00347EEC">
        <w:rPr>
          <w:bCs/>
          <w:sz w:val="22"/>
          <w:szCs w:val="22"/>
        </w:rPr>
        <w:t>Detaljni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iskazi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kvantitativnih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elemenata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obavljenog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posla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biće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ugrađeni</w:t>
      </w:r>
      <w:proofErr w:type="spellEnd"/>
      <w:r w:rsidRPr="00347EEC">
        <w:rPr>
          <w:bCs/>
          <w:sz w:val="22"/>
          <w:szCs w:val="22"/>
        </w:rPr>
        <w:t xml:space="preserve"> u </w:t>
      </w:r>
      <w:proofErr w:type="spellStart"/>
      <w:r w:rsidRPr="00347EEC">
        <w:rPr>
          <w:bCs/>
          <w:sz w:val="22"/>
          <w:szCs w:val="22"/>
        </w:rPr>
        <w:t>registar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radova</w:t>
      </w:r>
      <w:proofErr w:type="spellEnd"/>
      <w:r w:rsidRPr="00347EEC">
        <w:rPr>
          <w:bCs/>
          <w:sz w:val="22"/>
          <w:szCs w:val="22"/>
        </w:rPr>
        <w:t xml:space="preserve">, </w:t>
      </w:r>
      <w:proofErr w:type="spellStart"/>
      <w:proofErr w:type="gramStart"/>
      <w:r w:rsidRPr="00347EEC">
        <w:rPr>
          <w:bCs/>
          <w:sz w:val="22"/>
          <w:szCs w:val="22"/>
        </w:rPr>
        <w:t>ali</w:t>
      </w:r>
      <w:proofErr w:type="spellEnd"/>
      <w:proofErr w:type="gram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neće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biti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označeni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kao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odobreni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sve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dok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odgovarajući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detaljni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iskazi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kvalitativnih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elemenata</w:t>
      </w:r>
      <w:proofErr w:type="spellEnd"/>
      <w:r w:rsidRPr="00347EEC">
        <w:rPr>
          <w:bCs/>
          <w:sz w:val="22"/>
          <w:szCs w:val="22"/>
        </w:rPr>
        <w:t xml:space="preserve"> ne </w:t>
      </w:r>
      <w:proofErr w:type="spellStart"/>
      <w:r w:rsidRPr="00347EEC">
        <w:rPr>
          <w:bCs/>
          <w:sz w:val="22"/>
          <w:szCs w:val="22"/>
        </w:rPr>
        <w:t>budu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na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zadovoljstvo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Predstavnika</w:t>
      </w:r>
      <w:proofErr w:type="spellEnd"/>
      <w:r w:rsidRPr="00347EEC">
        <w:rPr>
          <w:bCs/>
          <w:sz w:val="22"/>
          <w:szCs w:val="22"/>
        </w:rPr>
        <w:t xml:space="preserve"> </w:t>
      </w:r>
      <w:proofErr w:type="spellStart"/>
      <w:r w:rsidRPr="00347EEC">
        <w:rPr>
          <w:bCs/>
          <w:sz w:val="22"/>
          <w:szCs w:val="22"/>
        </w:rPr>
        <w:t>supervizora</w:t>
      </w:r>
      <w:proofErr w:type="spellEnd"/>
      <w:r w:rsidRPr="00347EEC">
        <w:rPr>
          <w:bCs/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40</w:t>
      </w:r>
      <w:r>
        <w:rPr>
          <w:b/>
        </w:rPr>
        <w:tab/>
      </w:r>
      <w:proofErr w:type="spellStart"/>
      <w:r>
        <w:rPr>
          <w:b/>
        </w:rPr>
        <w:t>Porijeklo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kvalitet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radova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materijala</w:t>
      </w:r>
      <w:proofErr w:type="spellEnd"/>
    </w:p>
    <w:p w:rsidR="00166194" w:rsidRPr="00312110" w:rsidRDefault="009153D5" w:rsidP="00312110">
      <w:pPr>
        <w:pStyle w:val="Heading2"/>
        <w:keepNext w:val="0"/>
        <w:spacing w:before="120" w:after="120"/>
        <w:ind w:hanging="709"/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sz w:val="22"/>
          <w:szCs w:val="22"/>
        </w:rPr>
        <w:lastRenderedPageBreak/>
        <w:t>40.1</w:t>
      </w:r>
      <w:r>
        <w:rPr>
          <w:rFonts w:ascii="Times New Roman" w:eastAsia="Times New Roman" w:hAnsi="Times New Roman" w:cs="Times New Roman"/>
          <w:b w:val="0"/>
          <w:sz w:val="22"/>
          <w:szCs w:val="22"/>
        </w:rPr>
        <w:tab/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Sve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isporuke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prema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ovom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ugovoru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mogu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potjecati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iz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bilo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koje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proofErr w:type="spellStart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zemlje</w:t>
      </w:r>
      <w:proofErr w:type="spellEnd"/>
      <w:r w:rsidRPr="00312110"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>.</w:t>
      </w:r>
    </w:p>
    <w:p w:rsidR="00166194" w:rsidRDefault="009153D5">
      <w:pPr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t>40.2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Radovi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uređaji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oprema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materijali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koriste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njihovoj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izgradnji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>:</w:t>
      </w:r>
    </w:p>
    <w:p w:rsidR="00166194" w:rsidRDefault="009153D5">
      <w:pPr>
        <w:spacing w:before="240"/>
        <w:ind w:left="1276" w:hanging="1276"/>
        <w:jc w:val="both"/>
      </w:pPr>
      <w:bookmarkStart w:id="6" w:name="_3j2qqm3" w:colFirst="0" w:colLast="0"/>
      <w:bookmarkEnd w:id="6"/>
      <w:proofErr w:type="spellStart"/>
      <w:r>
        <w:rPr>
          <w:b/>
        </w:rPr>
        <w:t>Član</w:t>
      </w:r>
      <w:proofErr w:type="spellEnd"/>
      <w:r>
        <w:rPr>
          <w:b/>
        </w:rPr>
        <w:t xml:space="preserve"> 43</w:t>
      </w:r>
      <w:r>
        <w:rPr>
          <w:b/>
        </w:rPr>
        <w:tab/>
      </w:r>
      <w:proofErr w:type="spellStart"/>
      <w:r>
        <w:rPr>
          <w:b/>
        </w:rPr>
        <w:t>Vlasništvo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postrojenjima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materijalima</w:t>
      </w:r>
      <w:proofErr w:type="spellEnd"/>
    </w:p>
    <w:p w:rsidR="00166194" w:rsidRDefault="009153D5">
      <w:pPr>
        <w:spacing w:before="120" w:after="120"/>
        <w:ind w:left="1276" w:hanging="709"/>
        <w:jc w:val="both"/>
        <w:rPr>
          <w:sz w:val="22"/>
          <w:szCs w:val="22"/>
        </w:rPr>
      </w:pPr>
      <w:bookmarkStart w:id="7" w:name="_1y810tw" w:colFirst="0" w:colLast="0"/>
      <w:bookmarkEnd w:id="7"/>
      <w:r>
        <w:rPr>
          <w:sz w:val="22"/>
          <w:szCs w:val="22"/>
        </w:rPr>
        <w:t>43.2</w:t>
      </w:r>
      <w:r>
        <w:rPr>
          <w:sz w:val="22"/>
          <w:szCs w:val="22"/>
        </w:rPr>
        <w:tab/>
      </w:r>
      <w:proofErr w:type="spellStart"/>
      <w:r w:rsidR="00004C03" w:rsidRPr="00004C03">
        <w:rPr>
          <w:snapToGrid w:val="0"/>
          <w:sz w:val="22"/>
          <w:szCs w:val="22"/>
        </w:rPr>
        <w:t>Oprema</w:t>
      </w:r>
      <w:proofErr w:type="spellEnd"/>
      <w:r w:rsidR="00004C03" w:rsidRPr="00004C03">
        <w:rPr>
          <w:snapToGrid w:val="0"/>
          <w:sz w:val="22"/>
          <w:szCs w:val="22"/>
        </w:rPr>
        <w:t xml:space="preserve">, </w:t>
      </w:r>
      <w:proofErr w:type="spellStart"/>
      <w:r w:rsidR="00004C03" w:rsidRPr="00004C03">
        <w:rPr>
          <w:snapToGrid w:val="0"/>
          <w:sz w:val="22"/>
          <w:szCs w:val="22"/>
        </w:rPr>
        <w:t>privremeni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objekti</w:t>
      </w:r>
      <w:proofErr w:type="spellEnd"/>
      <w:r w:rsidR="00004C03" w:rsidRPr="00004C03">
        <w:rPr>
          <w:snapToGrid w:val="0"/>
          <w:sz w:val="22"/>
          <w:szCs w:val="22"/>
        </w:rPr>
        <w:t xml:space="preserve">, </w:t>
      </w:r>
      <w:proofErr w:type="spellStart"/>
      <w:r w:rsidR="00004C03" w:rsidRPr="00004C03">
        <w:rPr>
          <w:snapToGrid w:val="0"/>
          <w:sz w:val="22"/>
          <w:szCs w:val="22"/>
        </w:rPr>
        <w:t>postrojenja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i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materijali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proofErr w:type="gramStart"/>
      <w:r w:rsidR="00004C03" w:rsidRPr="00004C03">
        <w:rPr>
          <w:snapToGrid w:val="0"/>
          <w:sz w:val="22"/>
          <w:szCs w:val="22"/>
        </w:rPr>
        <w:t>na</w:t>
      </w:r>
      <w:proofErr w:type="spellEnd"/>
      <w:proofErr w:type="gram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gradilištu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će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za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vreme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izvođenja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radova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biti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pov</w:t>
      </w:r>
      <w:r w:rsidR="00EF1A06">
        <w:rPr>
          <w:snapToGrid w:val="0"/>
          <w:sz w:val="22"/>
          <w:szCs w:val="22"/>
        </w:rPr>
        <w:t>j</w:t>
      </w:r>
      <w:r w:rsidR="00004C03" w:rsidRPr="00004C03">
        <w:rPr>
          <w:snapToGrid w:val="0"/>
          <w:sz w:val="22"/>
          <w:szCs w:val="22"/>
        </w:rPr>
        <w:t>ereni</w:t>
      </w:r>
      <w:proofErr w:type="spellEnd"/>
      <w:r w:rsidR="00004C03" w:rsidRPr="00004C03">
        <w:rPr>
          <w:snapToGrid w:val="0"/>
          <w:sz w:val="22"/>
          <w:szCs w:val="22"/>
        </w:rPr>
        <w:t xml:space="preserve"> </w:t>
      </w:r>
      <w:proofErr w:type="spellStart"/>
      <w:r w:rsidR="00004C03" w:rsidRPr="00004C03">
        <w:rPr>
          <w:snapToGrid w:val="0"/>
          <w:sz w:val="22"/>
          <w:szCs w:val="22"/>
        </w:rPr>
        <w:t>naručiocu</w:t>
      </w:r>
      <w:proofErr w:type="spellEnd"/>
      <w:r w:rsidR="00004C03" w:rsidRPr="00004C03">
        <w:rPr>
          <w:snapToGrid w:val="0"/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44:</w:t>
      </w:r>
      <w:r>
        <w:rPr>
          <w:b/>
        </w:rPr>
        <w:tab/>
      </w:r>
      <w:proofErr w:type="spellStart"/>
      <w:r>
        <w:rPr>
          <w:b/>
        </w:rPr>
        <w:t>Opšti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plaćanja</w:t>
      </w:r>
      <w:proofErr w:type="spellEnd"/>
    </w:p>
    <w:p w:rsidR="00166194" w:rsidRPr="004527F6" w:rsidRDefault="00EF1A06" w:rsidP="004527F6">
      <w:pPr>
        <w:tabs>
          <w:tab w:val="right" w:pos="9885"/>
        </w:tabs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t>44.1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Isplata</w:t>
      </w:r>
      <w:proofErr w:type="spellEnd"/>
      <w:r w:rsidR="00311E17">
        <w:rPr>
          <w:sz w:val="22"/>
          <w:szCs w:val="22"/>
        </w:rPr>
        <w:t xml:space="preserve"> </w:t>
      </w:r>
      <w:proofErr w:type="spellStart"/>
      <w:proofErr w:type="gramStart"/>
      <w:r w:rsidR="00311E17">
        <w:rPr>
          <w:sz w:val="22"/>
          <w:szCs w:val="22"/>
        </w:rPr>
        <w:t>će</w:t>
      </w:r>
      <w:proofErr w:type="spellEnd"/>
      <w:proofErr w:type="gramEnd"/>
      <w:r w:rsidR="00311E17">
        <w:rPr>
          <w:sz w:val="22"/>
          <w:szCs w:val="22"/>
        </w:rPr>
        <w:t xml:space="preserve"> </w:t>
      </w:r>
      <w:proofErr w:type="spellStart"/>
      <w:r w:rsidR="00311E17"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u KM</w:t>
      </w:r>
      <w:r w:rsidR="00311E17" w:rsidRPr="00311E17">
        <w:rPr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46</w:t>
      </w:r>
      <w:r>
        <w:rPr>
          <w:b/>
        </w:rPr>
        <w:tab/>
      </w:r>
      <w:proofErr w:type="spellStart"/>
      <w:r>
        <w:rPr>
          <w:b/>
        </w:rPr>
        <w:t>Predfinansiranje</w:t>
      </w:r>
      <w:proofErr w:type="spellEnd"/>
    </w:p>
    <w:p w:rsidR="00166194" w:rsidRDefault="00314F3F">
      <w:pPr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t>46.1</w:t>
      </w:r>
      <w:r>
        <w:rPr>
          <w:sz w:val="22"/>
          <w:szCs w:val="22"/>
        </w:rPr>
        <w:tab/>
      </w:r>
      <w:proofErr w:type="spellStart"/>
      <w:r w:rsidRPr="00314F3F">
        <w:rPr>
          <w:sz w:val="22"/>
          <w:szCs w:val="22"/>
        </w:rPr>
        <w:t>Predfinansiranje</w:t>
      </w:r>
      <w:proofErr w:type="spellEnd"/>
      <w:r w:rsidRPr="00314F3F">
        <w:rPr>
          <w:sz w:val="22"/>
          <w:szCs w:val="22"/>
        </w:rPr>
        <w:t xml:space="preserve"> </w:t>
      </w:r>
      <w:proofErr w:type="spellStart"/>
      <w:r w:rsidRPr="00314F3F">
        <w:rPr>
          <w:sz w:val="22"/>
          <w:szCs w:val="22"/>
        </w:rPr>
        <w:t>nije</w:t>
      </w:r>
      <w:proofErr w:type="spellEnd"/>
      <w:r w:rsidRPr="00314F3F">
        <w:rPr>
          <w:sz w:val="22"/>
          <w:szCs w:val="22"/>
        </w:rPr>
        <w:t xml:space="preserve"> </w:t>
      </w:r>
      <w:proofErr w:type="spellStart"/>
      <w:r w:rsidRPr="00314F3F">
        <w:rPr>
          <w:sz w:val="22"/>
          <w:szCs w:val="22"/>
        </w:rPr>
        <w:t>moguće</w:t>
      </w:r>
      <w:proofErr w:type="spellEnd"/>
      <w:r w:rsidRPr="00314F3F">
        <w:rPr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bookmarkStart w:id="8" w:name="_4i7ojhp" w:colFirst="0" w:colLast="0"/>
      <w:bookmarkEnd w:id="8"/>
      <w:proofErr w:type="spellStart"/>
      <w:r>
        <w:rPr>
          <w:b/>
        </w:rPr>
        <w:t>Član</w:t>
      </w:r>
      <w:proofErr w:type="spellEnd"/>
      <w:r>
        <w:rPr>
          <w:b/>
        </w:rPr>
        <w:t xml:space="preserve"> 48</w:t>
      </w:r>
      <w:r>
        <w:rPr>
          <w:b/>
        </w:rPr>
        <w:tab/>
      </w:r>
      <w:proofErr w:type="spellStart"/>
      <w:r>
        <w:rPr>
          <w:b/>
        </w:rPr>
        <w:t>Revizija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cijene</w:t>
      </w:r>
      <w:proofErr w:type="spellEnd"/>
    </w:p>
    <w:p w:rsidR="00166194" w:rsidRDefault="009153D5">
      <w:pPr>
        <w:spacing w:before="120" w:after="120"/>
        <w:ind w:left="1276" w:hanging="709"/>
        <w:rPr>
          <w:sz w:val="22"/>
          <w:szCs w:val="22"/>
        </w:rPr>
      </w:pPr>
      <w:r>
        <w:rPr>
          <w:sz w:val="22"/>
          <w:szCs w:val="22"/>
        </w:rPr>
        <w:t>48.2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Cijene</w:t>
      </w:r>
      <w:proofErr w:type="spellEnd"/>
      <w:r>
        <w:rPr>
          <w:sz w:val="22"/>
          <w:szCs w:val="22"/>
        </w:rPr>
        <w:t xml:space="preserve"> se ne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mijenjati</w:t>
      </w:r>
      <w:proofErr w:type="spellEnd"/>
      <w:r>
        <w:rPr>
          <w:sz w:val="22"/>
          <w:szCs w:val="22"/>
        </w:rPr>
        <w:t>.</w:t>
      </w:r>
    </w:p>
    <w:p w:rsidR="00166194" w:rsidRDefault="002553FA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49</w:t>
      </w:r>
      <w:r>
        <w:rPr>
          <w:b/>
        </w:rPr>
        <w:tab/>
      </w:r>
      <w:proofErr w:type="spellStart"/>
      <w:r>
        <w:rPr>
          <w:b/>
        </w:rPr>
        <w:t>Vrsta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ugovora</w:t>
      </w:r>
      <w:proofErr w:type="spellEnd"/>
    </w:p>
    <w:p w:rsidR="00166194" w:rsidRDefault="009153D5" w:rsidP="00C77070">
      <w:pPr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t>49.1</w:t>
      </w:r>
      <w:r>
        <w:rPr>
          <w:sz w:val="22"/>
          <w:szCs w:val="22"/>
        </w:rPr>
        <w:tab/>
      </w:r>
      <w:proofErr w:type="spellStart"/>
      <w:r w:rsidRPr="00C77070">
        <w:rPr>
          <w:sz w:val="22"/>
          <w:szCs w:val="22"/>
        </w:rPr>
        <w:t>Ovo</w:t>
      </w:r>
      <w:proofErr w:type="spellEnd"/>
      <w:r w:rsidRPr="00C77070">
        <w:rPr>
          <w:sz w:val="22"/>
          <w:szCs w:val="22"/>
        </w:rPr>
        <w:t xml:space="preserve"> je </w:t>
      </w:r>
      <w:proofErr w:type="spellStart"/>
      <w:r w:rsidRPr="00C77070">
        <w:rPr>
          <w:sz w:val="22"/>
          <w:szCs w:val="22"/>
        </w:rPr>
        <w:t>paušalni</w:t>
      </w:r>
      <w:proofErr w:type="spellEnd"/>
      <w:r w:rsidRPr="00C77070">
        <w:rPr>
          <w:sz w:val="22"/>
          <w:szCs w:val="22"/>
        </w:rPr>
        <w:t xml:space="preserve"> </w:t>
      </w:r>
      <w:proofErr w:type="spellStart"/>
      <w:r w:rsidRPr="00C77070">
        <w:rPr>
          <w:sz w:val="22"/>
          <w:szCs w:val="22"/>
        </w:rPr>
        <w:t>ugovor</w:t>
      </w:r>
      <w:proofErr w:type="spellEnd"/>
      <w:r w:rsidRPr="00C77070">
        <w:rPr>
          <w:sz w:val="22"/>
          <w:szCs w:val="22"/>
        </w:rPr>
        <w:t>.</w:t>
      </w:r>
    </w:p>
    <w:p w:rsidR="009A3539" w:rsidRPr="009A3539" w:rsidRDefault="009A3539" w:rsidP="009A3539">
      <w:pPr>
        <w:tabs>
          <w:tab w:val="left" w:pos="1843"/>
        </w:tabs>
        <w:spacing w:after="240"/>
        <w:jc w:val="both"/>
        <w:rPr>
          <w:sz w:val="22"/>
          <w:szCs w:val="22"/>
        </w:rPr>
      </w:pPr>
      <w:bookmarkStart w:id="9" w:name="_3whwml4" w:colFirst="0" w:colLast="0"/>
      <w:bookmarkEnd w:id="9"/>
      <w:r w:rsidRPr="009A3539">
        <w:rPr>
          <w:sz w:val="22"/>
          <w:szCs w:val="22"/>
        </w:rPr>
        <w:t xml:space="preserve">Pod </w:t>
      </w:r>
      <w:proofErr w:type="spellStart"/>
      <w:r w:rsidRPr="009A3539">
        <w:rPr>
          <w:sz w:val="22"/>
          <w:szCs w:val="22"/>
        </w:rPr>
        <w:t>uslovima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predviđenim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posebnim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uslovima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i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opštim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uslovima</w:t>
      </w:r>
      <w:proofErr w:type="spellEnd"/>
      <w:r w:rsidRPr="009A3539">
        <w:rPr>
          <w:sz w:val="22"/>
          <w:szCs w:val="22"/>
        </w:rPr>
        <w:t xml:space="preserve">, </w:t>
      </w:r>
      <w:proofErr w:type="spellStart"/>
      <w:r w:rsidRPr="009A3539">
        <w:rPr>
          <w:sz w:val="22"/>
          <w:szCs w:val="22"/>
        </w:rPr>
        <w:t>dosp</w:t>
      </w:r>
      <w:r w:rsidR="00EF1A06">
        <w:rPr>
          <w:sz w:val="22"/>
          <w:szCs w:val="22"/>
        </w:rPr>
        <w:t>j</w:t>
      </w:r>
      <w:r w:rsidRPr="009A3539">
        <w:rPr>
          <w:sz w:val="22"/>
          <w:szCs w:val="22"/>
        </w:rPr>
        <w:t>eli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iznosi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proofErr w:type="gramStart"/>
      <w:r w:rsidRPr="009A3539">
        <w:rPr>
          <w:sz w:val="22"/>
          <w:szCs w:val="22"/>
        </w:rPr>
        <w:t>će</w:t>
      </w:r>
      <w:proofErr w:type="spellEnd"/>
      <w:proofErr w:type="gramEnd"/>
      <w:r w:rsidRPr="009A3539">
        <w:rPr>
          <w:sz w:val="22"/>
          <w:szCs w:val="22"/>
        </w:rPr>
        <w:t xml:space="preserve"> se </w:t>
      </w:r>
      <w:proofErr w:type="spellStart"/>
      <w:r w:rsidRPr="009A3539">
        <w:rPr>
          <w:sz w:val="22"/>
          <w:szCs w:val="22"/>
        </w:rPr>
        <w:t>obračunavati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kroz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sl</w:t>
      </w:r>
      <w:r w:rsidR="00EF1A06">
        <w:rPr>
          <w:sz w:val="22"/>
          <w:szCs w:val="22"/>
        </w:rPr>
        <w:t>j</w:t>
      </w:r>
      <w:r w:rsidRPr="009A3539">
        <w:rPr>
          <w:sz w:val="22"/>
          <w:szCs w:val="22"/>
        </w:rPr>
        <w:t>edeće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tranše</w:t>
      </w:r>
      <w:proofErr w:type="spellEnd"/>
      <w:r w:rsidRPr="009A3539">
        <w:rPr>
          <w:sz w:val="22"/>
          <w:szCs w:val="22"/>
        </w:rPr>
        <w:t xml:space="preserve">, </w:t>
      </w:r>
      <w:proofErr w:type="spellStart"/>
      <w:r w:rsidRPr="009A3539">
        <w:rPr>
          <w:sz w:val="22"/>
          <w:szCs w:val="22"/>
        </w:rPr>
        <w:t>izražene</w:t>
      </w:r>
      <w:proofErr w:type="spellEnd"/>
      <w:r w:rsidRPr="009A3539">
        <w:rPr>
          <w:sz w:val="22"/>
          <w:szCs w:val="22"/>
        </w:rPr>
        <w:t xml:space="preserve"> u </w:t>
      </w:r>
      <w:proofErr w:type="spellStart"/>
      <w:r w:rsidRPr="009A3539">
        <w:rPr>
          <w:sz w:val="22"/>
          <w:szCs w:val="22"/>
        </w:rPr>
        <w:t>procentima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od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c</w:t>
      </w:r>
      <w:r w:rsidR="00EF1A06">
        <w:rPr>
          <w:sz w:val="22"/>
          <w:szCs w:val="22"/>
        </w:rPr>
        <w:t>ij</w:t>
      </w:r>
      <w:r w:rsidRPr="009A3539">
        <w:rPr>
          <w:sz w:val="22"/>
          <w:szCs w:val="22"/>
        </w:rPr>
        <w:t>ene</w:t>
      </w:r>
      <w:proofErr w:type="spellEnd"/>
      <w:r w:rsidRPr="009A3539">
        <w:rPr>
          <w:sz w:val="22"/>
          <w:szCs w:val="22"/>
        </w:rPr>
        <w:t xml:space="preserve"> </w:t>
      </w:r>
      <w:proofErr w:type="spellStart"/>
      <w:r w:rsidRPr="009A3539">
        <w:rPr>
          <w:sz w:val="22"/>
          <w:szCs w:val="22"/>
        </w:rPr>
        <w:t>ugovora</w:t>
      </w:r>
      <w:proofErr w:type="spellEnd"/>
      <w:r w:rsidRPr="009A3539">
        <w:rPr>
          <w:sz w:val="22"/>
          <w:szCs w:val="22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2977"/>
        <w:gridCol w:w="4174"/>
      </w:tblGrid>
      <w:tr w:rsidR="009A3539" w:rsidRPr="00CA6498" w:rsidTr="00CF03D7">
        <w:tc>
          <w:tcPr>
            <w:tcW w:w="425" w:type="dxa"/>
            <w:shd w:val="clear" w:color="auto" w:fill="auto"/>
          </w:tcPr>
          <w:p w:rsidR="009A3539" w:rsidRPr="00CA6498" w:rsidRDefault="009A3539" w:rsidP="00CF03D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A3539" w:rsidRPr="00CA6498" w:rsidRDefault="009A3539" w:rsidP="00CF03D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A6498">
              <w:rPr>
                <w:b/>
                <w:sz w:val="22"/>
                <w:szCs w:val="22"/>
              </w:rPr>
              <w:t>Postotak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9A3539" w:rsidRPr="00CA6498" w:rsidRDefault="009A3539" w:rsidP="00CF03D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A6498">
              <w:rPr>
                <w:b/>
                <w:sz w:val="22"/>
                <w:szCs w:val="22"/>
              </w:rPr>
              <w:t>Priroda</w:t>
            </w:r>
            <w:proofErr w:type="spellEnd"/>
          </w:p>
        </w:tc>
        <w:tc>
          <w:tcPr>
            <w:tcW w:w="4174" w:type="dxa"/>
            <w:shd w:val="clear" w:color="auto" w:fill="auto"/>
          </w:tcPr>
          <w:p w:rsidR="009A3539" w:rsidRPr="00CA6498" w:rsidRDefault="00D963D6" w:rsidP="00CF03D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Vremenski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okvir</w:t>
            </w:r>
            <w:proofErr w:type="spellEnd"/>
          </w:p>
        </w:tc>
      </w:tr>
      <w:tr w:rsidR="009A3539" w:rsidRPr="00CA6498" w:rsidTr="00230539">
        <w:tc>
          <w:tcPr>
            <w:tcW w:w="425" w:type="dxa"/>
            <w:shd w:val="clear" w:color="auto" w:fill="auto"/>
          </w:tcPr>
          <w:p w:rsidR="009A3539" w:rsidRPr="00CA6498" w:rsidRDefault="009A3539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9A3539" w:rsidRPr="00CA6498" w:rsidRDefault="009A3539" w:rsidP="00CF03D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00%</w:t>
            </w:r>
          </w:p>
        </w:tc>
        <w:tc>
          <w:tcPr>
            <w:tcW w:w="2977" w:type="dxa"/>
            <w:shd w:val="clear" w:color="auto" w:fill="auto"/>
          </w:tcPr>
          <w:p w:rsidR="009A3539" w:rsidRPr="00E27B40" w:rsidRDefault="009A3539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proofErr w:type="spellStart"/>
            <w:r w:rsidRPr="00E27B40">
              <w:rPr>
                <w:sz w:val="22"/>
                <w:szCs w:val="22"/>
              </w:rPr>
              <w:t>Paušalni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predujam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iz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člana</w:t>
            </w:r>
            <w:proofErr w:type="spellEnd"/>
            <w:r w:rsidRPr="00E27B40">
              <w:rPr>
                <w:sz w:val="22"/>
                <w:szCs w:val="22"/>
              </w:rPr>
              <w:t xml:space="preserve"> 46.1(a)</w:t>
            </w:r>
          </w:p>
        </w:tc>
        <w:tc>
          <w:tcPr>
            <w:tcW w:w="4174" w:type="dxa"/>
            <w:shd w:val="clear" w:color="auto" w:fill="auto"/>
          </w:tcPr>
          <w:p w:rsidR="009A3539" w:rsidRPr="002553FA" w:rsidRDefault="00C03000" w:rsidP="00C03000">
            <w:pPr>
              <w:spacing w:before="120" w:after="12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C03000">
              <w:rPr>
                <w:sz w:val="22"/>
                <w:szCs w:val="22"/>
              </w:rPr>
              <w:t xml:space="preserve">Po </w:t>
            </w:r>
            <w:proofErr w:type="spellStart"/>
            <w:r w:rsidRPr="00C03000">
              <w:rPr>
                <w:sz w:val="22"/>
                <w:szCs w:val="22"/>
              </w:rPr>
              <w:t>završetku</w:t>
            </w:r>
            <w:proofErr w:type="spellEnd"/>
            <w:r w:rsidRPr="00C03000">
              <w:rPr>
                <w:sz w:val="22"/>
                <w:szCs w:val="22"/>
              </w:rPr>
              <w:t xml:space="preserve"> </w:t>
            </w:r>
            <w:proofErr w:type="spellStart"/>
            <w:r w:rsidRPr="00C03000">
              <w:rPr>
                <w:sz w:val="22"/>
                <w:szCs w:val="22"/>
              </w:rPr>
              <w:t>radova</w:t>
            </w:r>
            <w:proofErr w:type="spellEnd"/>
          </w:p>
        </w:tc>
      </w:tr>
      <w:tr w:rsidR="009A3539" w:rsidRPr="005967FA" w:rsidTr="00273662">
        <w:tc>
          <w:tcPr>
            <w:tcW w:w="425" w:type="dxa"/>
            <w:shd w:val="clear" w:color="auto" w:fill="auto"/>
          </w:tcPr>
          <w:p w:rsidR="009A3539" w:rsidRPr="00CA6498" w:rsidRDefault="009A3539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9A3539" w:rsidRPr="00CA6498" w:rsidRDefault="008A023B" w:rsidP="0007279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  <w:tc>
          <w:tcPr>
            <w:tcW w:w="2977" w:type="dxa"/>
            <w:shd w:val="clear" w:color="auto" w:fill="auto"/>
          </w:tcPr>
          <w:p w:rsidR="009A3539" w:rsidRPr="00E27B40" w:rsidRDefault="009A3539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proofErr w:type="spellStart"/>
            <w:r w:rsidRPr="00E27B40">
              <w:rPr>
                <w:sz w:val="22"/>
                <w:szCs w:val="22"/>
              </w:rPr>
              <w:t>Privremena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plaćanja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iz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člana</w:t>
            </w:r>
            <w:proofErr w:type="spellEnd"/>
            <w:r w:rsidRPr="00E27B40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4174" w:type="dxa"/>
            <w:shd w:val="clear" w:color="auto" w:fill="auto"/>
          </w:tcPr>
          <w:p w:rsidR="009A3539" w:rsidRPr="002553FA" w:rsidRDefault="009A3539" w:rsidP="008A023B">
            <w:pPr>
              <w:spacing w:before="120" w:after="12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3539" w:rsidRPr="005967FA" w:rsidTr="00273662">
        <w:tc>
          <w:tcPr>
            <w:tcW w:w="425" w:type="dxa"/>
            <w:shd w:val="clear" w:color="auto" w:fill="auto"/>
          </w:tcPr>
          <w:p w:rsidR="009A3539" w:rsidRPr="00CA6498" w:rsidRDefault="009A3539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9A3539" w:rsidRPr="00CA6498" w:rsidRDefault="008A023B" w:rsidP="00CF03D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30 %</w:t>
            </w:r>
          </w:p>
        </w:tc>
        <w:tc>
          <w:tcPr>
            <w:tcW w:w="2977" w:type="dxa"/>
            <w:shd w:val="clear" w:color="auto" w:fill="auto"/>
          </w:tcPr>
          <w:p w:rsidR="009A3539" w:rsidRPr="00E27B40" w:rsidRDefault="009A3539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proofErr w:type="spellStart"/>
            <w:r w:rsidRPr="00E27B40">
              <w:rPr>
                <w:sz w:val="22"/>
                <w:szCs w:val="22"/>
              </w:rPr>
              <w:t>Privremena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plaćanja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iz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člana</w:t>
            </w:r>
            <w:proofErr w:type="spellEnd"/>
            <w:r w:rsidRPr="00E27B40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4174" w:type="dxa"/>
            <w:shd w:val="clear" w:color="auto" w:fill="auto"/>
          </w:tcPr>
          <w:p w:rsidR="009A3539" w:rsidRPr="002553FA" w:rsidRDefault="009A3539" w:rsidP="008A023B">
            <w:pPr>
              <w:spacing w:before="120" w:after="12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A023B" w:rsidRPr="005967FA" w:rsidTr="00273662">
        <w:tc>
          <w:tcPr>
            <w:tcW w:w="425" w:type="dxa"/>
            <w:shd w:val="clear" w:color="auto" w:fill="auto"/>
          </w:tcPr>
          <w:p w:rsidR="008A023B" w:rsidRDefault="008A023B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8A023B" w:rsidRDefault="008A023B" w:rsidP="00CF03D7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34%</w:t>
            </w:r>
          </w:p>
        </w:tc>
        <w:tc>
          <w:tcPr>
            <w:tcW w:w="2977" w:type="dxa"/>
            <w:shd w:val="clear" w:color="auto" w:fill="auto"/>
          </w:tcPr>
          <w:p w:rsidR="008A023B" w:rsidRPr="00E27B40" w:rsidRDefault="008A023B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proofErr w:type="spellStart"/>
            <w:r w:rsidRPr="00E27B40">
              <w:rPr>
                <w:sz w:val="22"/>
                <w:szCs w:val="22"/>
              </w:rPr>
              <w:t>Privremena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plaćanja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iz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člana</w:t>
            </w:r>
            <w:proofErr w:type="spellEnd"/>
            <w:r w:rsidRPr="00E27B40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4174" w:type="dxa"/>
            <w:shd w:val="clear" w:color="auto" w:fill="auto"/>
          </w:tcPr>
          <w:p w:rsidR="008A023B" w:rsidRPr="002553FA" w:rsidRDefault="008A023B" w:rsidP="00273662">
            <w:pPr>
              <w:spacing w:before="120" w:after="12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A3539" w:rsidRPr="005967FA" w:rsidTr="00230539">
        <w:tc>
          <w:tcPr>
            <w:tcW w:w="425" w:type="dxa"/>
            <w:shd w:val="clear" w:color="auto" w:fill="auto"/>
          </w:tcPr>
          <w:p w:rsidR="009A3539" w:rsidRPr="00CA6498" w:rsidRDefault="008A023B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9A3539" w:rsidRPr="00CA6498" w:rsidRDefault="00273662" w:rsidP="00273662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6 %</w:t>
            </w:r>
          </w:p>
        </w:tc>
        <w:tc>
          <w:tcPr>
            <w:tcW w:w="2977" w:type="dxa"/>
            <w:shd w:val="clear" w:color="auto" w:fill="auto"/>
          </w:tcPr>
          <w:p w:rsidR="009A3539" w:rsidRPr="00E27B40" w:rsidRDefault="009A3539" w:rsidP="00CF03D7">
            <w:pPr>
              <w:spacing w:before="120" w:after="120"/>
              <w:jc w:val="both"/>
              <w:rPr>
                <w:sz w:val="22"/>
                <w:szCs w:val="22"/>
              </w:rPr>
            </w:pPr>
            <w:proofErr w:type="spellStart"/>
            <w:r w:rsidRPr="00E27B40">
              <w:rPr>
                <w:sz w:val="22"/>
                <w:szCs w:val="22"/>
              </w:rPr>
              <w:t>Privremena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plaćanja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iz</w:t>
            </w:r>
            <w:proofErr w:type="spellEnd"/>
            <w:r w:rsidRPr="00E27B40">
              <w:rPr>
                <w:sz w:val="22"/>
                <w:szCs w:val="22"/>
              </w:rPr>
              <w:t xml:space="preserve"> </w:t>
            </w:r>
            <w:proofErr w:type="spellStart"/>
            <w:r w:rsidRPr="00E27B40">
              <w:rPr>
                <w:sz w:val="22"/>
                <w:szCs w:val="22"/>
              </w:rPr>
              <w:t>člana</w:t>
            </w:r>
            <w:proofErr w:type="spellEnd"/>
            <w:r w:rsidRPr="00E27B40">
              <w:rPr>
                <w:sz w:val="22"/>
                <w:szCs w:val="22"/>
              </w:rPr>
              <w:t xml:space="preserve"> 50</w:t>
            </w:r>
          </w:p>
        </w:tc>
        <w:tc>
          <w:tcPr>
            <w:tcW w:w="4174" w:type="dxa"/>
            <w:shd w:val="clear" w:color="auto" w:fill="auto"/>
          </w:tcPr>
          <w:p w:rsidR="009A3539" w:rsidRPr="002553FA" w:rsidRDefault="009A3539" w:rsidP="00E27B40">
            <w:pPr>
              <w:spacing w:before="120" w:after="120"/>
              <w:jc w:val="both"/>
              <w:rPr>
                <w:color w:val="FF0000"/>
                <w:sz w:val="22"/>
                <w:szCs w:val="22"/>
              </w:rPr>
            </w:pPr>
            <w:bookmarkStart w:id="10" w:name="_GoBack"/>
            <w:bookmarkEnd w:id="10"/>
          </w:p>
        </w:tc>
      </w:tr>
    </w:tbl>
    <w:p w:rsidR="00166194" w:rsidRDefault="00166194" w:rsidP="00020F11">
      <w:pPr>
        <w:tabs>
          <w:tab w:val="left" w:pos="1843"/>
        </w:tabs>
        <w:spacing w:after="240"/>
        <w:ind w:left="1843"/>
        <w:jc w:val="both"/>
        <w:rPr>
          <w:sz w:val="22"/>
          <w:szCs w:val="22"/>
        </w:rPr>
      </w:pPr>
    </w:p>
    <w:p w:rsidR="004527F6" w:rsidRDefault="004527F6" w:rsidP="00020F11">
      <w:pPr>
        <w:tabs>
          <w:tab w:val="left" w:pos="1843"/>
        </w:tabs>
        <w:spacing w:after="240"/>
        <w:ind w:left="1843"/>
        <w:jc w:val="both"/>
        <w:rPr>
          <w:sz w:val="22"/>
          <w:szCs w:val="22"/>
        </w:rPr>
      </w:pP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50</w:t>
      </w:r>
      <w:r>
        <w:rPr>
          <w:b/>
        </w:rPr>
        <w:tab/>
      </w:r>
      <w:proofErr w:type="spellStart"/>
      <w:r>
        <w:rPr>
          <w:b/>
        </w:rPr>
        <w:t>Privremena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plaćanja</w:t>
      </w:r>
      <w:proofErr w:type="spellEnd"/>
    </w:p>
    <w:p w:rsidR="00166194" w:rsidRDefault="009153D5">
      <w:pPr>
        <w:spacing w:before="120" w:after="120"/>
        <w:ind w:left="1276" w:hanging="709"/>
        <w:rPr>
          <w:sz w:val="22"/>
          <w:szCs w:val="22"/>
        </w:rPr>
      </w:pPr>
      <w:bookmarkStart w:id="11" w:name="_2bn6wsx" w:colFirst="0" w:colLast="0"/>
      <w:bookmarkEnd w:id="11"/>
      <w:r>
        <w:rPr>
          <w:sz w:val="22"/>
          <w:szCs w:val="22"/>
        </w:rPr>
        <w:t>50.1</w:t>
      </w:r>
      <w:r>
        <w:rPr>
          <w:sz w:val="22"/>
          <w:szCs w:val="22"/>
        </w:rPr>
        <w:tab/>
      </w:r>
      <w:proofErr w:type="spellStart"/>
      <w:r w:rsidR="009A3539" w:rsidRPr="00CA6498">
        <w:rPr>
          <w:bCs/>
          <w:sz w:val="22"/>
          <w:szCs w:val="22"/>
        </w:rPr>
        <w:t>Privremena</w:t>
      </w:r>
      <w:proofErr w:type="spellEnd"/>
      <w:r w:rsidR="009A3539" w:rsidRPr="00CA6498">
        <w:rPr>
          <w:bCs/>
          <w:sz w:val="22"/>
          <w:szCs w:val="22"/>
        </w:rPr>
        <w:t xml:space="preserve"> </w:t>
      </w:r>
      <w:proofErr w:type="spellStart"/>
      <w:r w:rsidR="009A3539" w:rsidRPr="00CA6498">
        <w:rPr>
          <w:bCs/>
          <w:sz w:val="22"/>
          <w:szCs w:val="22"/>
        </w:rPr>
        <w:t>plaćanja</w:t>
      </w:r>
      <w:proofErr w:type="spellEnd"/>
      <w:r w:rsidR="009A3539" w:rsidRPr="00CA6498">
        <w:rPr>
          <w:bCs/>
          <w:sz w:val="22"/>
          <w:szCs w:val="22"/>
        </w:rPr>
        <w:t xml:space="preserve"> </w:t>
      </w:r>
      <w:proofErr w:type="spellStart"/>
      <w:proofErr w:type="gramStart"/>
      <w:r w:rsidR="009A3539" w:rsidRPr="00CA6498">
        <w:rPr>
          <w:bCs/>
          <w:sz w:val="22"/>
          <w:szCs w:val="22"/>
        </w:rPr>
        <w:t>će</w:t>
      </w:r>
      <w:proofErr w:type="spellEnd"/>
      <w:proofErr w:type="gramEnd"/>
      <w:r w:rsidR="009A3539" w:rsidRPr="00CA6498">
        <w:rPr>
          <w:bCs/>
          <w:sz w:val="22"/>
          <w:szCs w:val="22"/>
        </w:rPr>
        <w:t xml:space="preserve"> </w:t>
      </w:r>
      <w:proofErr w:type="spellStart"/>
      <w:r w:rsidR="009A3539" w:rsidRPr="00CA6498">
        <w:rPr>
          <w:bCs/>
          <w:sz w:val="22"/>
          <w:szCs w:val="22"/>
        </w:rPr>
        <w:t>biti</w:t>
      </w:r>
      <w:proofErr w:type="spellEnd"/>
      <w:r w:rsidR="009A3539" w:rsidRPr="00CA6498">
        <w:rPr>
          <w:bCs/>
          <w:sz w:val="22"/>
          <w:szCs w:val="22"/>
        </w:rPr>
        <w:t xml:space="preserve"> </w:t>
      </w:r>
      <w:proofErr w:type="spellStart"/>
      <w:r w:rsidR="009A3539" w:rsidRPr="00CA6498">
        <w:rPr>
          <w:bCs/>
          <w:sz w:val="22"/>
          <w:szCs w:val="22"/>
        </w:rPr>
        <w:t>isplaćena</w:t>
      </w:r>
      <w:proofErr w:type="spellEnd"/>
      <w:r w:rsidR="009A3539" w:rsidRPr="00CA6498">
        <w:rPr>
          <w:bCs/>
          <w:sz w:val="22"/>
          <w:szCs w:val="22"/>
        </w:rPr>
        <w:t xml:space="preserve"> </w:t>
      </w:r>
      <w:proofErr w:type="spellStart"/>
      <w:r w:rsidR="009A3539" w:rsidRPr="00CA6498">
        <w:rPr>
          <w:bCs/>
          <w:sz w:val="22"/>
          <w:szCs w:val="22"/>
        </w:rPr>
        <w:t>kako</w:t>
      </w:r>
      <w:proofErr w:type="spellEnd"/>
      <w:r w:rsidR="009A3539" w:rsidRPr="00CA6498">
        <w:rPr>
          <w:bCs/>
          <w:sz w:val="22"/>
          <w:szCs w:val="22"/>
        </w:rPr>
        <w:t xml:space="preserve"> je </w:t>
      </w:r>
      <w:proofErr w:type="spellStart"/>
      <w:r w:rsidR="009A3539" w:rsidRPr="00CA6498">
        <w:rPr>
          <w:bCs/>
          <w:sz w:val="22"/>
          <w:szCs w:val="22"/>
        </w:rPr>
        <w:t>određeno</w:t>
      </w:r>
      <w:proofErr w:type="spellEnd"/>
      <w:r w:rsidR="009A3539" w:rsidRPr="00CA6498">
        <w:rPr>
          <w:bCs/>
          <w:sz w:val="22"/>
          <w:szCs w:val="22"/>
        </w:rPr>
        <w:t xml:space="preserve"> u </w:t>
      </w:r>
      <w:proofErr w:type="spellStart"/>
      <w:r w:rsidR="009A3539" w:rsidRPr="00CA6498">
        <w:rPr>
          <w:bCs/>
          <w:sz w:val="22"/>
          <w:szCs w:val="22"/>
        </w:rPr>
        <w:t>članu</w:t>
      </w:r>
      <w:proofErr w:type="spellEnd"/>
      <w:r w:rsidR="009A3539" w:rsidRPr="00CA6498">
        <w:rPr>
          <w:bCs/>
          <w:sz w:val="22"/>
          <w:szCs w:val="22"/>
        </w:rPr>
        <w:t xml:space="preserve"> 49.1 </w:t>
      </w:r>
      <w:proofErr w:type="spellStart"/>
      <w:r w:rsidR="009A3539" w:rsidRPr="00CA6498">
        <w:rPr>
          <w:bCs/>
          <w:sz w:val="22"/>
          <w:szCs w:val="22"/>
        </w:rPr>
        <w:t>ovih</w:t>
      </w:r>
      <w:proofErr w:type="spellEnd"/>
      <w:r w:rsidR="009A3539" w:rsidRPr="00CA6498">
        <w:rPr>
          <w:bCs/>
          <w:sz w:val="22"/>
          <w:szCs w:val="22"/>
        </w:rPr>
        <w:t xml:space="preserve"> </w:t>
      </w:r>
      <w:proofErr w:type="spellStart"/>
      <w:r w:rsidR="009A3539" w:rsidRPr="00CA6498">
        <w:rPr>
          <w:bCs/>
          <w:sz w:val="22"/>
          <w:szCs w:val="22"/>
        </w:rPr>
        <w:t>posebnih</w:t>
      </w:r>
      <w:proofErr w:type="spellEnd"/>
      <w:r w:rsidR="009A3539" w:rsidRPr="00CA6498">
        <w:rPr>
          <w:bCs/>
          <w:sz w:val="22"/>
          <w:szCs w:val="22"/>
        </w:rPr>
        <w:t xml:space="preserve"> </w:t>
      </w:r>
      <w:proofErr w:type="spellStart"/>
      <w:r w:rsidR="009A3539" w:rsidRPr="00CA6498">
        <w:rPr>
          <w:bCs/>
          <w:sz w:val="22"/>
          <w:szCs w:val="22"/>
        </w:rPr>
        <w:t>uslova</w:t>
      </w:r>
      <w:proofErr w:type="spellEnd"/>
      <w:r w:rsidR="009A3539" w:rsidRPr="00CA6498">
        <w:rPr>
          <w:bCs/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proofErr w:type="spellStart"/>
      <w:r>
        <w:rPr>
          <w:b/>
        </w:rPr>
        <w:t>Član</w:t>
      </w:r>
      <w:proofErr w:type="spellEnd"/>
      <w:r>
        <w:rPr>
          <w:b/>
        </w:rPr>
        <w:t xml:space="preserve"> 61</w:t>
      </w:r>
      <w:r>
        <w:rPr>
          <w:b/>
        </w:rPr>
        <w:tab/>
      </w:r>
      <w:proofErr w:type="spellStart"/>
      <w:r>
        <w:rPr>
          <w:b/>
        </w:rPr>
        <w:t>Odgovornost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nedostatke</w:t>
      </w:r>
      <w:proofErr w:type="spellEnd"/>
    </w:p>
    <w:p w:rsidR="00166194" w:rsidRDefault="009153D5">
      <w:pPr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t>61.1</w:t>
      </w:r>
      <w:r>
        <w:rPr>
          <w:sz w:val="22"/>
          <w:szCs w:val="22"/>
        </w:rPr>
        <w:tab/>
        <w:t xml:space="preserve">Period </w:t>
      </w:r>
      <w:proofErr w:type="spellStart"/>
      <w:r>
        <w:rPr>
          <w:sz w:val="22"/>
          <w:szCs w:val="22"/>
        </w:rPr>
        <w:t>odgovornosti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nedostatke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definiše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period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počinje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od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datuma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kojeg</w:t>
      </w:r>
      <w:proofErr w:type="spellEnd"/>
      <w:r>
        <w:rPr>
          <w:sz w:val="22"/>
          <w:szCs w:val="22"/>
        </w:rPr>
        <w:t xml:space="preserve"> je od </w:t>
      </w:r>
      <w:proofErr w:type="spellStart"/>
      <w:r>
        <w:rPr>
          <w:sz w:val="22"/>
          <w:szCs w:val="22"/>
        </w:rPr>
        <w:t>Dobavljača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potrebno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ispravi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uticaj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štetu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može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pojaviti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tokom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perioda</w:t>
      </w:r>
      <w:proofErr w:type="spellEnd"/>
      <w:r>
        <w:rPr>
          <w:sz w:val="22"/>
          <w:szCs w:val="22"/>
        </w:rPr>
        <w:t xml:space="preserve">, o </w:t>
      </w:r>
      <w:proofErr w:type="spellStart"/>
      <w:r>
        <w:rPr>
          <w:sz w:val="22"/>
          <w:szCs w:val="22"/>
        </w:rPr>
        <w:t>čemu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obavijesti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Nadzorni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Ugovarač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obaveze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stranaka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vezi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periodom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nedostatke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propisane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61. </w:t>
      </w:r>
      <w:proofErr w:type="spellStart"/>
      <w:r>
        <w:rPr>
          <w:sz w:val="22"/>
          <w:szCs w:val="22"/>
        </w:rPr>
        <w:t>Opštih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uslova</w:t>
      </w:r>
      <w:proofErr w:type="spellEnd"/>
      <w:r>
        <w:rPr>
          <w:sz w:val="22"/>
          <w:szCs w:val="22"/>
        </w:rPr>
        <w:t>.</w:t>
      </w:r>
    </w:p>
    <w:p w:rsidR="00166194" w:rsidRDefault="009153D5">
      <w:pPr>
        <w:spacing w:before="240"/>
        <w:ind w:left="1276" w:hanging="1276"/>
        <w:jc w:val="both"/>
      </w:pPr>
      <w:bookmarkStart w:id="12" w:name="_2p2csry" w:colFirst="0" w:colLast="0"/>
      <w:bookmarkEnd w:id="12"/>
      <w:proofErr w:type="spellStart"/>
      <w:r>
        <w:rPr>
          <w:b/>
        </w:rPr>
        <w:t>Član</w:t>
      </w:r>
      <w:proofErr w:type="spellEnd"/>
      <w:r>
        <w:rPr>
          <w:b/>
        </w:rPr>
        <w:t xml:space="preserve"> 68</w:t>
      </w:r>
      <w:r>
        <w:rPr>
          <w:b/>
        </w:rPr>
        <w:tab/>
      </w:r>
      <w:proofErr w:type="spellStart"/>
      <w:r>
        <w:rPr>
          <w:b/>
        </w:rPr>
        <w:t>Rješavanje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sporova</w:t>
      </w:r>
      <w:proofErr w:type="spellEnd"/>
    </w:p>
    <w:p w:rsidR="00166194" w:rsidRDefault="009153D5" w:rsidP="009A3539">
      <w:pPr>
        <w:spacing w:before="120" w:after="120"/>
        <w:ind w:left="1276" w:hanging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68.4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Svi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proizađu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vezi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Ugovorom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koji</w:t>
      </w:r>
      <w:proofErr w:type="spellEnd"/>
      <w:r>
        <w:rPr>
          <w:sz w:val="22"/>
          <w:szCs w:val="22"/>
        </w:rPr>
        <w:t xml:space="preserve"> se ne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riješiti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način</w:t>
      </w:r>
      <w:proofErr w:type="spellEnd"/>
      <w:r>
        <w:rPr>
          <w:sz w:val="22"/>
          <w:szCs w:val="22"/>
        </w:rPr>
        <w:t xml:space="preserve">, bit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upućeni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isključivu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nadležnost</w:t>
      </w:r>
      <w:proofErr w:type="spellEnd"/>
      <w:r w:rsidR="002553FA">
        <w:rPr>
          <w:sz w:val="22"/>
          <w:szCs w:val="22"/>
        </w:rPr>
        <w:t xml:space="preserve"> </w:t>
      </w:r>
      <w:proofErr w:type="spellStart"/>
      <w:r w:rsidR="002553FA">
        <w:rPr>
          <w:sz w:val="22"/>
          <w:szCs w:val="22"/>
        </w:rPr>
        <w:t>Privredni</w:t>
      </w:r>
      <w:proofErr w:type="spellEnd"/>
      <w:r w:rsidR="002553FA">
        <w:rPr>
          <w:sz w:val="22"/>
          <w:szCs w:val="22"/>
        </w:rPr>
        <w:t xml:space="preserve"> </w:t>
      </w:r>
      <w:proofErr w:type="spellStart"/>
      <w:r w:rsidR="002553FA">
        <w:rPr>
          <w:sz w:val="22"/>
          <w:szCs w:val="22"/>
        </w:rPr>
        <w:t>sud</w:t>
      </w:r>
      <w:proofErr w:type="spellEnd"/>
      <w:r w:rsidR="002553FA">
        <w:rPr>
          <w:sz w:val="22"/>
          <w:szCs w:val="22"/>
        </w:rPr>
        <w:t xml:space="preserve"> u</w:t>
      </w:r>
      <w:r w:rsidR="002553FA" w:rsidRPr="00C03000">
        <w:rPr>
          <w:sz w:val="22"/>
          <w:szCs w:val="22"/>
        </w:rPr>
        <w:t xml:space="preserve"> </w:t>
      </w:r>
      <w:proofErr w:type="spellStart"/>
      <w:r w:rsidR="002553FA" w:rsidRPr="00C03000">
        <w:rPr>
          <w:sz w:val="22"/>
          <w:szCs w:val="22"/>
        </w:rPr>
        <w:t>Banjaluci</w:t>
      </w:r>
      <w:proofErr w:type="spellEnd"/>
      <w:r w:rsidR="00311E17" w:rsidRPr="00C03000">
        <w:rPr>
          <w:sz w:val="22"/>
          <w:szCs w:val="22"/>
        </w:rPr>
        <w:t xml:space="preserve"> </w:t>
      </w:r>
      <w:r w:rsidR="00311E17" w:rsidRPr="00311E17">
        <w:rPr>
          <w:sz w:val="22"/>
          <w:szCs w:val="22"/>
        </w:rPr>
        <w:t xml:space="preserve">u </w:t>
      </w:r>
      <w:proofErr w:type="spellStart"/>
      <w:r w:rsidR="00311E17" w:rsidRPr="00311E17">
        <w:rPr>
          <w:sz w:val="22"/>
          <w:szCs w:val="22"/>
        </w:rPr>
        <w:t>skladu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sa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nacionalnim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zakonodavstvom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države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ugovornog</w:t>
      </w:r>
      <w:proofErr w:type="spellEnd"/>
      <w:r w:rsidR="00311E17" w:rsidRPr="00311E17">
        <w:rPr>
          <w:sz w:val="22"/>
          <w:szCs w:val="22"/>
        </w:rPr>
        <w:t xml:space="preserve"> </w:t>
      </w:r>
      <w:proofErr w:type="spellStart"/>
      <w:r w:rsidR="00311E17" w:rsidRPr="00311E17">
        <w:rPr>
          <w:sz w:val="22"/>
          <w:szCs w:val="22"/>
        </w:rPr>
        <w:t>organa</w:t>
      </w:r>
      <w:proofErr w:type="spellEnd"/>
      <w:r>
        <w:rPr>
          <w:sz w:val="22"/>
          <w:szCs w:val="22"/>
          <w:highlight w:val="lightGray"/>
        </w:rPr>
        <w:t xml:space="preserve"> </w:t>
      </w:r>
    </w:p>
    <w:p w:rsidR="00166194" w:rsidRDefault="00166194" w:rsidP="00C77070">
      <w:pPr>
        <w:spacing w:after="120"/>
        <w:jc w:val="both"/>
        <w:rPr>
          <w:sz w:val="22"/>
          <w:szCs w:val="22"/>
        </w:rPr>
      </w:pPr>
    </w:p>
    <w:p w:rsidR="00166194" w:rsidRDefault="00166194" w:rsidP="00C77070">
      <w:pPr>
        <w:spacing w:after="120"/>
        <w:jc w:val="both"/>
        <w:rPr>
          <w:sz w:val="22"/>
          <w:szCs w:val="22"/>
          <w:highlight w:val="magenta"/>
        </w:rPr>
      </w:pPr>
    </w:p>
    <w:p w:rsidR="00166194" w:rsidRDefault="00166194" w:rsidP="00C77070">
      <w:pPr>
        <w:spacing w:after="120"/>
        <w:jc w:val="both"/>
        <w:rPr>
          <w:sz w:val="22"/>
          <w:szCs w:val="22"/>
          <w:highlight w:val="lightGray"/>
        </w:rPr>
      </w:pPr>
    </w:p>
    <w:p w:rsidR="00166194" w:rsidRDefault="00166194" w:rsidP="00C77070">
      <w:pPr>
        <w:spacing w:before="120" w:after="120"/>
        <w:ind w:left="1276" w:hanging="709"/>
        <w:jc w:val="both"/>
        <w:rPr>
          <w:sz w:val="22"/>
          <w:szCs w:val="22"/>
        </w:rPr>
      </w:pPr>
    </w:p>
    <w:sectPr w:rsidR="00166194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298" w:right="1298" w:bottom="1077" w:left="129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62" w:rsidRDefault="00E27962">
      <w:r>
        <w:separator/>
      </w:r>
    </w:p>
  </w:endnote>
  <w:endnote w:type="continuationSeparator" w:id="0">
    <w:p w:rsidR="00E27962" w:rsidRDefault="00E2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194" w:rsidRDefault="009153D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66194" w:rsidRDefault="001661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194" w:rsidRDefault="009153D5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ind w:right="5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C03000"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C03000"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</w:p>
  <w:p w:rsidR="00166194" w:rsidRDefault="00166194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194" w:rsidRDefault="009153D5">
    <w:pPr>
      <w:pBdr>
        <w:top w:val="nil"/>
        <w:left w:val="nil"/>
        <w:bottom w:val="nil"/>
        <w:right w:val="nil"/>
        <w:between w:val="nil"/>
      </w:pBdr>
      <w:tabs>
        <w:tab w:val="right" w:pos="8931"/>
      </w:tabs>
      <w:ind w:right="6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C0300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C03000"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</w:p>
  <w:p w:rsidR="00166194" w:rsidRDefault="00166194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62" w:rsidRDefault="00E27962">
      <w:r>
        <w:separator/>
      </w:r>
    </w:p>
  </w:footnote>
  <w:footnote w:type="continuationSeparator" w:id="0">
    <w:p w:rsidR="00E27962" w:rsidRDefault="00E2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194" w:rsidRDefault="00C71614" w:rsidP="00C716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  <w:lang w:eastAsia="en-GB"/>
      </w:rPr>
      <w:drawing>
        <wp:inline distT="0" distB="0" distL="0" distR="0" wp14:anchorId="2CDA513E" wp14:editId="27A89F52">
          <wp:extent cx="2542540" cy="10852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900A0" w:rsidRDefault="00D900A0" w:rsidP="00D900A0">
    <w:pPr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716"/>
    <w:multiLevelType w:val="multilevel"/>
    <w:tmpl w:val="57E2EA1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5870830"/>
    <w:multiLevelType w:val="multilevel"/>
    <w:tmpl w:val="8AA45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CA6F77"/>
    <w:multiLevelType w:val="multilevel"/>
    <w:tmpl w:val="1294225A"/>
    <w:lvl w:ilvl="0">
      <w:start w:val="1"/>
      <w:numFmt w:val="lowerLetter"/>
      <w:lvlText w:val="%1)"/>
      <w:lvlJc w:val="left"/>
      <w:pPr>
        <w:ind w:left="125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7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9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1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3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5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7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9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19" w:hanging="180"/>
      </w:pPr>
      <w:rPr>
        <w:vertAlign w:val="baseline"/>
      </w:rPr>
    </w:lvl>
  </w:abstractNum>
  <w:abstractNum w:abstractNumId="3" w15:restartNumberingAfterBreak="0">
    <w:nsid w:val="614B3277"/>
    <w:multiLevelType w:val="multilevel"/>
    <w:tmpl w:val="89924AE0"/>
    <w:lvl w:ilvl="0">
      <w:start w:val="1"/>
      <w:numFmt w:val="lowerLetter"/>
      <w:lvlText w:val="%1)"/>
      <w:lvlJc w:val="left"/>
      <w:pPr>
        <w:ind w:left="125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7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9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1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3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5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7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9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19" w:hanging="180"/>
      </w:pPr>
      <w:rPr>
        <w:vertAlign w:val="baseline"/>
      </w:rPr>
    </w:lvl>
  </w:abstractNum>
  <w:abstractNum w:abstractNumId="4" w15:restartNumberingAfterBreak="0">
    <w:nsid w:val="78DC5A27"/>
    <w:multiLevelType w:val="multilevel"/>
    <w:tmpl w:val="B0F64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94"/>
    <w:rsid w:val="00004C03"/>
    <w:rsid w:val="00020F11"/>
    <w:rsid w:val="00072792"/>
    <w:rsid w:val="0008523B"/>
    <w:rsid w:val="000F0A89"/>
    <w:rsid w:val="001436D2"/>
    <w:rsid w:val="00166194"/>
    <w:rsid w:val="00230539"/>
    <w:rsid w:val="002553FA"/>
    <w:rsid w:val="0026396C"/>
    <w:rsid w:val="00273662"/>
    <w:rsid w:val="002F56BE"/>
    <w:rsid w:val="00311E17"/>
    <w:rsid w:val="00312110"/>
    <w:rsid w:val="00314F3F"/>
    <w:rsid w:val="0032751B"/>
    <w:rsid w:val="00332FAF"/>
    <w:rsid w:val="003878DF"/>
    <w:rsid w:val="003B28A4"/>
    <w:rsid w:val="004527F6"/>
    <w:rsid w:val="00562229"/>
    <w:rsid w:val="006008F8"/>
    <w:rsid w:val="00603A87"/>
    <w:rsid w:val="006150D8"/>
    <w:rsid w:val="007C2133"/>
    <w:rsid w:val="00837ECF"/>
    <w:rsid w:val="008A023B"/>
    <w:rsid w:val="008A540B"/>
    <w:rsid w:val="009153D5"/>
    <w:rsid w:val="009271EC"/>
    <w:rsid w:val="009A3539"/>
    <w:rsid w:val="009F3063"/>
    <w:rsid w:val="00AB5E8E"/>
    <w:rsid w:val="00B76728"/>
    <w:rsid w:val="00BC11C2"/>
    <w:rsid w:val="00BF7A02"/>
    <w:rsid w:val="00C03000"/>
    <w:rsid w:val="00C156CD"/>
    <w:rsid w:val="00C630E7"/>
    <w:rsid w:val="00C679D2"/>
    <w:rsid w:val="00C71614"/>
    <w:rsid w:val="00C77070"/>
    <w:rsid w:val="00CB52EA"/>
    <w:rsid w:val="00D479A7"/>
    <w:rsid w:val="00D61C33"/>
    <w:rsid w:val="00D900A0"/>
    <w:rsid w:val="00D946E8"/>
    <w:rsid w:val="00D963D6"/>
    <w:rsid w:val="00DA7EE5"/>
    <w:rsid w:val="00E27962"/>
    <w:rsid w:val="00E27B40"/>
    <w:rsid w:val="00EF1A06"/>
    <w:rsid w:val="00F3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A7FE1"/>
  <w15:docId w15:val="{70E59DEC-ADB8-41BC-B358-549C9BF2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/>
      <w:ind w:left="1276" w:hanging="425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color w:val="FF0000"/>
      <w:sz w:val="36"/>
      <w:szCs w:val="3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1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1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21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0F1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F1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6396C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004C03"/>
    <w:rPr>
      <w:rFonts w:ascii="Arial" w:eastAsia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laden.milakovic@banjaluka.rs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Mario Milanović</cp:lastModifiedBy>
  <cp:revision>5</cp:revision>
  <cp:lastPrinted>2025-02-11T09:45:00Z</cp:lastPrinted>
  <dcterms:created xsi:type="dcterms:W3CDTF">2025-02-14T14:24:00Z</dcterms:created>
  <dcterms:modified xsi:type="dcterms:W3CDTF">2025-04-16T09:19:00Z</dcterms:modified>
</cp:coreProperties>
</file>