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719" w:rsidRDefault="008D2719"/>
    <w:p w:rsidR="00B644E3" w:rsidRDefault="00345120">
      <w:pPr>
        <w:spacing w:before="240" w:after="240"/>
        <w:jc w:val="center"/>
        <w:rPr>
          <w:sz w:val="36"/>
          <w:szCs w:val="36"/>
        </w:rPr>
      </w:pPr>
      <w:bookmarkStart w:id="0" w:name="_gjdgxs" w:colFirst="0" w:colLast="0"/>
      <w:bookmarkEnd w:id="0"/>
      <w:r>
        <w:rPr>
          <w:b/>
          <w:sz w:val="36"/>
          <w:szCs w:val="36"/>
        </w:rPr>
        <w:t>IZDANJE</w:t>
      </w:r>
      <w:r w:rsidR="00A25C94">
        <w:rPr>
          <w:b/>
          <w:sz w:val="36"/>
          <w:szCs w:val="36"/>
        </w:rPr>
        <w:t xml:space="preserve"> 1</w:t>
      </w:r>
    </w:p>
    <w:p w:rsidR="00B644E3" w:rsidRDefault="00A25C94">
      <w:pPr>
        <w:spacing w:before="240" w:after="240"/>
        <w:jc w:val="center"/>
        <w:rPr>
          <w:sz w:val="36"/>
          <w:szCs w:val="36"/>
        </w:rPr>
      </w:pPr>
      <w:bookmarkStart w:id="1" w:name="_30j0zll" w:colFirst="0" w:colLast="0"/>
      <w:bookmarkEnd w:id="1"/>
      <w:r>
        <w:rPr>
          <w:b/>
          <w:sz w:val="36"/>
          <w:szCs w:val="36"/>
        </w:rPr>
        <w:t xml:space="preserve">ODJELJAK 1: </w:t>
      </w:r>
      <w:bookmarkStart w:id="2" w:name="_GoBack"/>
      <w:r>
        <w:rPr>
          <w:b/>
          <w:sz w:val="36"/>
          <w:szCs w:val="36"/>
        </w:rPr>
        <w:t>UPUTSTVO PONUĐAČIMA</w:t>
      </w:r>
      <w:bookmarkEnd w:id="2"/>
    </w:p>
    <w:p w:rsidR="00F7015E" w:rsidRPr="00CB7C87" w:rsidRDefault="00A25C94" w:rsidP="00F7015E">
      <w:pPr>
        <w:rPr>
          <w:lang w:val="sr-Latn-RS"/>
        </w:rPr>
      </w:pPr>
      <w:r w:rsidRPr="00172221">
        <w:rPr>
          <w:b/>
        </w:rPr>
        <w:t xml:space="preserve">Naziv ugovora: </w:t>
      </w:r>
      <w:r w:rsidR="00F03996">
        <w:rPr>
          <w:b/>
        </w:rPr>
        <w:t>Adaptacija i konzervacija</w:t>
      </w:r>
      <w:r w:rsidR="00F7015E">
        <w:rPr>
          <w:b/>
        </w:rPr>
        <w:t xml:space="preserve"> Kule 1 i Kule 2 sa uređenjem dvorišta koji povezuje dvije kule na tvrđavi Kastel </w:t>
      </w:r>
    </w:p>
    <w:p w:rsidR="00172221" w:rsidRPr="00172221" w:rsidRDefault="00172221" w:rsidP="00F7015E">
      <w:pPr>
        <w:rPr>
          <w:b/>
          <w:snapToGrid w:val="0"/>
        </w:rPr>
      </w:pPr>
    </w:p>
    <w:p w:rsidR="00B644E3" w:rsidRDefault="00B644E3">
      <w:pPr>
        <w:spacing w:after="240"/>
        <w:jc w:val="center"/>
        <w:rPr>
          <w:b/>
        </w:rPr>
      </w:pPr>
    </w:p>
    <w:p w:rsidR="00172221" w:rsidRPr="00BE77E1" w:rsidRDefault="00C15CF5" w:rsidP="00172221">
      <w:pPr>
        <w:rPr>
          <w:b/>
        </w:rPr>
      </w:pPr>
      <w:r>
        <w:rPr>
          <w:b/>
        </w:rPr>
        <w:t xml:space="preserve">Ref. broj: Tender br: </w:t>
      </w:r>
      <w:r w:rsidR="00172221">
        <w:rPr>
          <w:b/>
        </w:rPr>
        <w:t xml:space="preserve">HR-BA-ME-00047-GIFTSnet </w:t>
      </w:r>
    </w:p>
    <w:p w:rsidR="00B644E3" w:rsidRDefault="00B644E3">
      <w:pPr>
        <w:spacing w:after="240"/>
        <w:jc w:val="center"/>
        <w:rPr>
          <w:b/>
        </w:rPr>
      </w:pPr>
    </w:p>
    <w:p w:rsidR="00B644E3" w:rsidRDefault="00B644E3">
      <w:pPr>
        <w:spacing w:before="240" w:after="240"/>
        <w:jc w:val="center"/>
        <w:rPr>
          <w:sz w:val="36"/>
          <w:szCs w:val="36"/>
        </w:rPr>
      </w:pPr>
    </w:p>
    <w:p w:rsidR="00B644E3" w:rsidRDefault="00A25C94">
      <w:pPr>
        <w:ind w:left="0"/>
      </w:pPr>
      <w:r>
        <w:t>Prilikom podnošenja ponude, ponuđač u potpunosti i bez ograničenja prihvata posebne i opšte uslove koji regulišu ugovor kao jedinu osnovu ovog tenderskog postupka, bez obzira na to koji su njegovi uslovi prodaje, kojih se ovim odriče. Od ponuđača se očekuje da pažljivo ispitaju i poštuju sva uputstva, obrasce, odredbe ugovora i specifikacije sadržane u ovom tenderskom dosijeu. Nedostavljanje ponude koja sadrži sve tražene informacije i dokumentaciju u roku će dovesti do odbijanja ponude. Ne</w:t>
      </w:r>
      <w:r w:rsidR="00F7015E">
        <w:t>će</w:t>
      </w:r>
      <w:r>
        <w:t xml:space="preserve"> se uz</w:t>
      </w:r>
      <w:r w:rsidR="00F7015E">
        <w:t>eti u obzir bilo kakva alternativna riješenja u sastavu tenderske ponude</w:t>
      </w:r>
      <w:r>
        <w:t>; ovo može dovesti do momentalnog odbijanja ponude bez dalje evaluacije.</w:t>
      </w:r>
    </w:p>
    <w:p w:rsidR="00B644E3" w:rsidRDefault="00A25C94">
      <w:pPr>
        <w:pStyle w:val="Subtitle"/>
        <w:spacing w:before="0" w:after="240"/>
        <w:ind w:left="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Ovim Uputstvom se utvrđuju pravila za podnošenje, odabir i implementaciju ugovora koji se finansiraju u okviru ovog poziva za podnošenje ponuda, u skladu sa odredbama Praktičnog vodiča, koji se primjenjuje na ovaj poziv (dostupan na internetu na ovoj adresi:</w:t>
      </w:r>
      <w:r w:rsidR="00F03996">
        <w:rPr>
          <w:rFonts w:ascii="Times New Roman" w:eastAsia="Times New Roman" w:hAnsi="Times New Roman" w:cs="Times New Roman"/>
          <w:sz w:val="22"/>
          <w:szCs w:val="22"/>
        </w:rPr>
        <w:t xml:space="preserve"> </w:t>
      </w:r>
      <w:hyperlink r:id="rId8" w:history="1">
        <w:r w:rsidR="00F2212D" w:rsidRPr="00DC4338">
          <w:rPr>
            <w:rStyle w:val="Hyperlink"/>
            <w:rFonts w:ascii="Times New Roman" w:eastAsia="Times New Roman" w:hAnsi="Times New Roman" w:cs="Times New Roman"/>
            <w:sz w:val="22"/>
            <w:szCs w:val="22"/>
          </w:rPr>
          <w:t>https://wikis.ec.europa.eu/display/ExactExternalWiki/ePRAG</w:t>
        </w:r>
      </w:hyperlink>
      <w:r w:rsidR="00F2212D">
        <w:rPr>
          <w:rFonts w:ascii="Times New Roman" w:eastAsia="Times New Roman" w:hAnsi="Times New Roman" w:cs="Times New Roman"/>
          <w:sz w:val="22"/>
          <w:szCs w:val="22"/>
        </w:rPr>
        <w:t>).</w:t>
      </w:r>
    </w:p>
    <w:p w:rsidR="00B644E3" w:rsidRDefault="00A25C94">
      <w:r>
        <w:br w:type="page"/>
      </w:r>
    </w:p>
    <w:p w:rsidR="00B644E3" w:rsidRDefault="00A25C94">
      <w:pPr>
        <w:jc w:val="center"/>
      </w:pPr>
      <w:r>
        <w:rPr>
          <w:b/>
        </w:rPr>
        <w:lastRenderedPageBreak/>
        <w:t>SADRŽAJ</w:t>
      </w:r>
    </w:p>
    <w:p w:rsidR="00B644E3" w:rsidRDefault="00B644E3"/>
    <w:sdt>
      <w:sdtPr>
        <w:rPr>
          <w:rFonts w:ascii="Times New Roman" w:eastAsia="Times New Roman" w:hAnsi="Times New Roman" w:cs="Times New Roman"/>
          <w:color w:val="auto"/>
          <w:sz w:val="22"/>
          <w:szCs w:val="22"/>
          <w:lang w:val="en-GB"/>
        </w:rPr>
        <w:id w:val="1770128973"/>
        <w:docPartObj>
          <w:docPartGallery w:val="Table of Contents"/>
          <w:docPartUnique/>
        </w:docPartObj>
      </w:sdtPr>
      <w:sdtEndPr>
        <w:rPr>
          <w:b/>
          <w:bCs/>
          <w:noProof/>
        </w:rPr>
      </w:sdtEndPr>
      <w:sdtContent>
        <w:p w:rsidR="00C20E30" w:rsidRDefault="00C20E30">
          <w:pPr>
            <w:pStyle w:val="TOCHeading"/>
          </w:pPr>
          <w:r>
            <w:t>Sadržaj</w:t>
          </w:r>
        </w:p>
        <w:p w:rsidR="00966159" w:rsidRDefault="00C20E30">
          <w:pPr>
            <w:pStyle w:val="TOC1"/>
            <w:tabs>
              <w:tab w:val="right" w:leader="dot" w:pos="9301"/>
            </w:tabs>
            <w:rPr>
              <w:rFonts w:asciiTheme="minorHAnsi" w:eastAsiaTheme="minorEastAsia" w:hAnsiTheme="minorHAnsi" w:cstheme="minorBidi"/>
              <w:noProof/>
              <w:kern w:val="2"/>
              <w:sz w:val="24"/>
              <w:szCs w:val="24"/>
              <w:lang w:val="en-US"/>
              <w14:ligatures w14:val="standardContextual"/>
            </w:rPr>
          </w:pPr>
          <w:r>
            <w:fldChar w:fldCharType="begin"/>
          </w:r>
          <w:r>
            <w:instrText xml:space="preserve"> TOC \o "1-2" \h \z \u </w:instrText>
          </w:r>
          <w:r>
            <w:fldChar w:fldCharType="separate"/>
          </w:r>
          <w:hyperlink w:anchor="_Toc189806966" w:history="1">
            <w:r w:rsidR="00F44E65">
              <w:rPr>
                <w:rStyle w:val="Hyperlink"/>
                <w:noProof/>
              </w:rPr>
              <w:t>OPŠT</w:t>
            </w:r>
            <w:r w:rsidR="00966159" w:rsidRPr="005A2F73">
              <w:rPr>
                <w:rStyle w:val="Hyperlink"/>
                <w:noProof/>
              </w:rPr>
              <w:t>I DIO</w:t>
            </w:r>
            <w:r w:rsidR="00966159">
              <w:rPr>
                <w:noProof/>
                <w:webHidden/>
              </w:rPr>
              <w:tab/>
            </w:r>
            <w:r w:rsidR="00966159">
              <w:rPr>
                <w:noProof/>
                <w:webHidden/>
              </w:rPr>
              <w:fldChar w:fldCharType="begin"/>
            </w:r>
            <w:r w:rsidR="00966159">
              <w:rPr>
                <w:noProof/>
                <w:webHidden/>
              </w:rPr>
              <w:instrText xml:space="preserve"> PAGEREF _Toc189806966 \h </w:instrText>
            </w:r>
            <w:r w:rsidR="00966159">
              <w:rPr>
                <w:noProof/>
                <w:webHidden/>
              </w:rPr>
            </w:r>
            <w:r w:rsidR="00966159">
              <w:rPr>
                <w:noProof/>
                <w:webHidden/>
              </w:rPr>
              <w:fldChar w:fldCharType="separate"/>
            </w:r>
            <w:r w:rsidR="00E97A2E">
              <w:rPr>
                <w:noProof/>
                <w:webHidden/>
              </w:rPr>
              <w:t>3</w:t>
            </w:r>
            <w:r w:rsidR="00966159">
              <w:rPr>
                <w:noProof/>
                <w:webHidden/>
              </w:rPr>
              <w:fldChar w:fldCharType="end"/>
            </w:r>
          </w:hyperlink>
        </w:p>
        <w:p w:rsidR="00966159" w:rsidRDefault="00AD3E7C">
          <w:pPr>
            <w:pStyle w:val="TOC2"/>
            <w:tabs>
              <w:tab w:val="left" w:pos="660"/>
              <w:tab w:val="right" w:leader="dot" w:pos="9301"/>
            </w:tabs>
            <w:rPr>
              <w:rFonts w:asciiTheme="minorHAnsi" w:eastAsiaTheme="minorEastAsia" w:hAnsiTheme="minorHAnsi" w:cstheme="minorBidi"/>
              <w:noProof/>
              <w:kern w:val="2"/>
              <w:sz w:val="24"/>
              <w:szCs w:val="24"/>
              <w:lang w:val="en-US"/>
              <w14:ligatures w14:val="standardContextual"/>
            </w:rPr>
          </w:pPr>
          <w:hyperlink w:anchor="_Toc189806967" w:history="1">
            <w:r w:rsidR="00966159" w:rsidRPr="005A2F73">
              <w:rPr>
                <w:rStyle w:val="Hyperlink"/>
                <w:noProof/>
              </w:rPr>
              <w:t>1.</w:t>
            </w:r>
            <w:r w:rsidR="00966159">
              <w:rPr>
                <w:rFonts w:asciiTheme="minorHAnsi" w:eastAsiaTheme="minorEastAsia" w:hAnsiTheme="minorHAnsi" w:cstheme="minorBidi"/>
                <w:noProof/>
                <w:kern w:val="2"/>
                <w:sz w:val="24"/>
                <w:szCs w:val="24"/>
                <w:lang w:val="en-US"/>
                <w14:ligatures w14:val="standardContextual"/>
              </w:rPr>
              <w:tab/>
            </w:r>
            <w:r w:rsidR="00F44E65">
              <w:rPr>
                <w:rStyle w:val="Hyperlink"/>
                <w:noProof/>
              </w:rPr>
              <w:t>OPŠT</w:t>
            </w:r>
            <w:r w:rsidR="00966159" w:rsidRPr="005A2F73">
              <w:rPr>
                <w:rStyle w:val="Hyperlink"/>
                <w:noProof/>
              </w:rPr>
              <w:t>A UPUTSTVA</w:t>
            </w:r>
            <w:r w:rsidR="00966159">
              <w:rPr>
                <w:noProof/>
                <w:webHidden/>
              </w:rPr>
              <w:tab/>
            </w:r>
            <w:r w:rsidR="00966159">
              <w:rPr>
                <w:noProof/>
                <w:webHidden/>
              </w:rPr>
              <w:fldChar w:fldCharType="begin"/>
            </w:r>
            <w:r w:rsidR="00966159">
              <w:rPr>
                <w:noProof/>
                <w:webHidden/>
              </w:rPr>
              <w:instrText xml:space="preserve"> PAGEREF _Toc189806967 \h </w:instrText>
            </w:r>
            <w:r w:rsidR="00966159">
              <w:rPr>
                <w:noProof/>
                <w:webHidden/>
              </w:rPr>
            </w:r>
            <w:r w:rsidR="00966159">
              <w:rPr>
                <w:noProof/>
                <w:webHidden/>
              </w:rPr>
              <w:fldChar w:fldCharType="separate"/>
            </w:r>
            <w:r w:rsidR="00E97A2E">
              <w:rPr>
                <w:noProof/>
                <w:webHidden/>
              </w:rPr>
              <w:t>3</w:t>
            </w:r>
            <w:r w:rsidR="00966159">
              <w:rPr>
                <w:noProof/>
                <w:webHidden/>
              </w:rPr>
              <w:fldChar w:fldCharType="end"/>
            </w:r>
          </w:hyperlink>
        </w:p>
        <w:p w:rsidR="00966159" w:rsidRDefault="00AD3E7C">
          <w:pPr>
            <w:pStyle w:val="TOC2"/>
            <w:tabs>
              <w:tab w:val="left" w:pos="660"/>
              <w:tab w:val="right" w:leader="dot" w:pos="9301"/>
            </w:tabs>
            <w:rPr>
              <w:rFonts w:asciiTheme="minorHAnsi" w:eastAsiaTheme="minorEastAsia" w:hAnsiTheme="minorHAnsi" w:cstheme="minorBidi"/>
              <w:noProof/>
              <w:kern w:val="2"/>
              <w:sz w:val="24"/>
              <w:szCs w:val="24"/>
              <w:lang w:val="en-US"/>
              <w14:ligatures w14:val="standardContextual"/>
            </w:rPr>
          </w:pPr>
          <w:hyperlink w:anchor="_Toc189806968" w:history="1">
            <w:r w:rsidR="00966159" w:rsidRPr="005A2F73">
              <w:rPr>
                <w:rStyle w:val="Hyperlink"/>
                <w:noProof/>
              </w:rPr>
              <w:t>2.</w:t>
            </w:r>
            <w:r w:rsidR="00966159">
              <w:rPr>
                <w:rFonts w:asciiTheme="minorHAnsi" w:eastAsiaTheme="minorEastAsia" w:hAnsiTheme="minorHAnsi" w:cstheme="minorBidi"/>
                <w:noProof/>
                <w:kern w:val="2"/>
                <w:sz w:val="24"/>
                <w:szCs w:val="24"/>
                <w:lang w:val="en-US"/>
                <w14:ligatures w14:val="standardContextual"/>
              </w:rPr>
              <w:tab/>
            </w:r>
            <w:r w:rsidR="00966159" w:rsidRPr="005A2F73">
              <w:rPr>
                <w:rStyle w:val="Hyperlink"/>
                <w:noProof/>
              </w:rPr>
              <w:t>FINANSIRANJE</w:t>
            </w:r>
            <w:r w:rsidR="00966159">
              <w:rPr>
                <w:noProof/>
                <w:webHidden/>
              </w:rPr>
              <w:tab/>
            </w:r>
            <w:r w:rsidR="00966159">
              <w:rPr>
                <w:noProof/>
                <w:webHidden/>
              </w:rPr>
              <w:fldChar w:fldCharType="begin"/>
            </w:r>
            <w:r w:rsidR="00966159">
              <w:rPr>
                <w:noProof/>
                <w:webHidden/>
              </w:rPr>
              <w:instrText xml:space="preserve"> PAGEREF _Toc189806968 \h </w:instrText>
            </w:r>
            <w:r w:rsidR="00966159">
              <w:rPr>
                <w:noProof/>
                <w:webHidden/>
              </w:rPr>
            </w:r>
            <w:r w:rsidR="00966159">
              <w:rPr>
                <w:noProof/>
                <w:webHidden/>
              </w:rPr>
              <w:fldChar w:fldCharType="separate"/>
            </w:r>
            <w:r w:rsidR="00E97A2E">
              <w:rPr>
                <w:noProof/>
                <w:webHidden/>
              </w:rPr>
              <w:t>3</w:t>
            </w:r>
            <w:r w:rsidR="00966159">
              <w:rPr>
                <w:noProof/>
                <w:webHidden/>
              </w:rPr>
              <w:fldChar w:fldCharType="end"/>
            </w:r>
          </w:hyperlink>
        </w:p>
        <w:p w:rsidR="00966159" w:rsidRDefault="00AD3E7C">
          <w:pPr>
            <w:pStyle w:val="TOC2"/>
            <w:tabs>
              <w:tab w:val="left" w:pos="660"/>
              <w:tab w:val="right" w:leader="dot" w:pos="9301"/>
            </w:tabs>
            <w:rPr>
              <w:rFonts w:asciiTheme="minorHAnsi" w:eastAsiaTheme="minorEastAsia" w:hAnsiTheme="minorHAnsi" w:cstheme="minorBidi"/>
              <w:noProof/>
              <w:kern w:val="2"/>
              <w:sz w:val="24"/>
              <w:szCs w:val="24"/>
              <w:lang w:val="en-US"/>
              <w14:ligatures w14:val="standardContextual"/>
            </w:rPr>
          </w:pPr>
          <w:hyperlink w:anchor="_Toc189806969" w:history="1">
            <w:r w:rsidR="00966159" w:rsidRPr="005A2F73">
              <w:rPr>
                <w:rStyle w:val="Hyperlink"/>
                <w:noProof/>
              </w:rPr>
              <w:t>3.</w:t>
            </w:r>
            <w:r w:rsidR="00966159">
              <w:rPr>
                <w:rFonts w:asciiTheme="minorHAnsi" w:eastAsiaTheme="minorEastAsia" w:hAnsiTheme="minorHAnsi" w:cstheme="minorBidi"/>
                <w:noProof/>
                <w:kern w:val="2"/>
                <w:sz w:val="24"/>
                <w:szCs w:val="24"/>
                <w:lang w:val="en-US"/>
                <w14:ligatures w14:val="standardContextual"/>
              </w:rPr>
              <w:tab/>
            </w:r>
            <w:r w:rsidR="00966159" w:rsidRPr="005A2F73">
              <w:rPr>
                <w:rStyle w:val="Hyperlink"/>
                <w:noProof/>
              </w:rPr>
              <w:t>UČEŠĆE</w:t>
            </w:r>
            <w:r w:rsidR="00966159">
              <w:rPr>
                <w:noProof/>
                <w:webHidden/>
              </w:rPr>
              <w:tab/>
            </w:r>
            <w:r w:rsidR="00966159">
              <w:rPr>
                <w:noProof/>
                <w:webHidden/>
              </w:rPr>
              <w:fldChar w:fldCharType="begin"/>
            </w:r>
            <w:r w:rsidR="00966159">
              <w:rPr>
                <w:noProof/>
                <w:webHidden/>
              </w:rPr>
              <w:instrText xml:space="preserve"> PAGEREF _Toc189806969 \h </w:instrText>
            </w:r>
            <w:r w:rsidR="00966159">
              <w:rPr>
                <w:noProof/>
                <w:webHidden/>
              </w:rPr>
            </w:r>
            <w:r w:rsidR="00966159">
              <w:rPr>
                <w:noProof/>
                <w:webHidden/>
              </w:rPr>
              <w:fldChar w:fldCharType="separate"/>
            </w:r>
            <w:r w:rsidR="00E97A2E">
              <w:rPr>
                <w:noProof/>
                <w:webHidden/>
              </w:rPr>
              <w:t>3</w:t>
            </w:r>
            <w:r w:rsidR="00966159">
              <w:rPr>
                <w:noProof/>
                <w:webHidden/>
              </w:rPr>
              <w:fldChar w:fldCharType="end"/>
            </w:r>
          </w:hyperlink>
        </w:p>
        <w:p w:rsidR="00966159" w:rsidRDefault="00AD3E7C">
          <w:pPr>
            <w:pStyle w:val="TOC2"/>
            <w:tabs>
              <w:tab w:val="left" w:pos="660"/>
              <w:tab w:val="right" w:leader="dot" w:pos="9301"/>
            </w:tabs>
            <w:rPr>
              <w:rFonts w:asciiTheme="minorHAnsi" w:eastAsiaTheme="minorEastAsia" w:hAnsiTheme="minorHAnsi" w:cstheme="minorBidi"/>
              <w:noProof/>
              <w:kern w:val="2"/>
              <w:sz w:val="24"/>
              <w:szCs w:val="24"/>
              <w:lang w:val="en-US"/>
              <w14:ligatures w14:val="standardContextual"/>
            </w:rPr>
          </w:pPr>
          <w:hyperlink w:anchor="_Toc189806970" w:history="1">
            <w:r w:rsidR="00966159" w:rsidRPr="005A2F73">
              <w:rPr>
                <w:rStyle w:val="Hyperlink"/>
                <w:noProof/>
              </w:rPr>
              <w:t>4.</w:t>
            </w:r>
            <w:r w:rsidR="00966159">
              <w:rPr>
                <w:rFonts w:asciiTheme="minorHAnsi" w:eastAsiaTheme="minorEastAsia" w:hAnsiTheme="minorHAnsi" w:cstheme="minorBidi"/>
                <w:noProof/>
                <w:kern w:val="2"/>
                <w:sz w:val="24"/>
                <w:szCs w:val="24"/>
                <w:lang w:val="en-US"/>
                <w14:ligatures w14:val="standardContextual"/>
              </w:rPr>
              <w:tab/>
            </w:r>
            <w:r w:rsidR="00966159" w:rsidRPr="005A2F73">
              <w:rPr>
                <w:rStyle w:val="Hyperlink"/>
                <w:noProof/>
              </w:rPr>
              <w:t>SAMO JEDAN TENDER PO PONUĐAČU</w:t>
            </w:r>
            <w:r w:rsidR="00966159">
              <w:rPr>
                <w:noProof/>
                <w:webHidden/>
              </w:rPr>
              <w:tab/>
            </w:r>
            <w:r w:rsidR="00966159">
              <w:rPr>
                <w:noProof/>
                <w:webHidden/>
              </w:rPr>
              <w:fldChar w:fldCharType="begin"/>
            </w:r>
            <w:r w:rsidR="00966159">
              <w:rPr>
                <w:noProof/>
                <w:webHidden/>
              </w:rPr>
              <w:instrText xml:space="preserve"> PAGEREF _Toc189806970 \h </w:instrText>
            </w:r>
            <w:r w:rsidR="00966159">
              <w:rPr>
                <w:noProof/>
                <w:webHidden/>
              </w:rPr>
            </w:r>
            <w:r w:rsidR="00966159">
              <w:rPr>
                <w:noProof/>
                <w:webHidden/>
              </w:rPr>
              <w:fldChar w:fldCharType="separate"/>
            </w:r>
            <w:r w:rsidR="00E97A2E">
              <w:rPr>
                <w:noProof/>
                <w:webHidden/>
              </w:rPr>
              <w:t>4</w:t>
            </w:r>
            <w:r w:rsidR="00966159">
              <w:rPr>
                <w:noProof/>
                <w:webHidden/>
              </w:rPr>
              <w:fldChar w:fldCharType="end"/>
            </w:r>
          </w:hyperlink>
        </w:p>
        <w:p w:rsidR="00966159" w:rsidRDefault="00AD3E7C">
          <w:pPr>
            <w:pStyle w:val="TOC2"/>
            <w:tabs>
              <w:tab w:val="left" w:pos="660"/>
              <w:tab w:val="right" w:leader="dot" w:pos="9301"/>
            </w:tabs>
            <w:rPr>
              <w:rFonts w:asciiTheme="minorHAnsi" w:eastAsiaTheme="minorEastAsia" w:hAnsiTheme="minorHAnsi" w:cstheme="minorBidi"/>
              <w:noProof/>
              <w:kern w:val="2"/>
              <w:sz w:val="24"/>
              <w:szCs w:val="24"/>
              <w:lang w:val="en-US"/>
              <w14:ligatures w14:val="standardContextual"/>
            </w:rPr>
          </w:pPr>
          <w:hyperlink w:anchor="_Toc189806971" w:history="1">
            <w:r w:rsidR="00966159" w:rsidRPr="005A2F73">
              <w:rPr>
                <w:rStyle w:val="Hyperlink"/>
                <w:noProof/>
              </w:rPr>
              <w:t>5.</w:t>
            </w:r>
            <w:r w:rsidR="00966159">
              <w:rPr>
                <w:rFonts w:asciiTheme="minorHAnsi" w:eastAsiaTheme="minorEastAsia" w:hAnsiTheme="minorHAnsi" w:cstheme="minorBidi"/>
                <w:noProof/>
                <w:kern w:val="2"/>
                <w:sz w:val="24"/>
                <w:szCs w:val="24"/>
                <w:lang w:val="en-US"/>
                <w14:ligatures w14:val="standardContextual"/>
              </w:rPr>
              <w:tab/>
            </w:r>
            <w:r w:rsidR="00966159" w:rsidRPr="005A2F73">
              <w:rPr>
                <w:rStyle w:val="Hyperlink"/>
                <w:noProof/>
              </w:rPr>
              <w:t>TROŠKOVI TENDERA</w:t>
            </w:r>
            <w:r w:rsidR="00966159">
              <w:rPr>
                <w:noProof/>
                <w:webHidden/>
              </w:rPr>
              <w:tab/>
            </w:r>
            <w:r w:rsidR="00966159">
              <w:rPr>
                <w:noProof/>
                <w:webHidden/>
              </w:rPr>
              <w:fldChar w:fldCharType="begin"/>
            </w:r>
            <w:r w:rsidR="00966159">
              <w:rPr>
                <w:noProof/>
                <w:webHidden/>
              </w:rPr>
              <w:instrText xml:space="preserve"> PAGEREF _Toc189806971 \h </w:instrText>
            </w:r>
            <w:r w:rsidR="00966159">
              <w:rPr>
                <w:noProof/>
                <w:webHidden/>
              </w:rPr>
            </w:r>
            <w:r w:rsidR="00966159">
              <w:rPr>
                <w:noProof/>
                <w:webHidden/>
              </w:rPr>
              <w:fldChar w:fldCharType="separate"/>
            </w:r>
            <w:r w:rsidR="00E97A2E">
              <w:rPr>
                <w:noProof/>
                <w:webHidden/>
              </w:rPr>
              <w:t>4</w:t>
            </w:r>
            <w:r w:rsidR="00966159">
              <w:rPr>
                <w:noProof/>
                <w:webHidden/>
              </w:rPr>
              <w:fldChar w:fldCharType="end"/>
            </w:r>
          </w:hyperlink>
        </w:p>
        <w:p w:rsidR="00966159" w:rsidRDefault="00AD3E7C">
          <w:pPr>
            <w:pStyle w:val="TOC2"/>
            <w:tabs>
              <w:tab w:val="left" w:pos="660"/>
              <w:tab w:val="right" w:leader="dot" w:pos="9301"/>
            </w:tabs>
            <w:rPr>
              <w:rFonts w:asciiTheme="minorHAnsi" w:eastAsiaTheme="minorEastAsia" w:hAnsiTheme="minorHAnsi" w:cstheme="minorBidi"/>
              <w:noProof/>
              <w:kern w:val="2"/>
              <w:sz w:val="24"/>
              <w:szCs w:val="24"/>
              <w:lang w:val="en-US"/>
              <w14:ligatures w14:val="standardContextual"/>
            </w:rPr>
          </w:pPr>
          <w:hyperlink w:anchor="_Toc189806972" w:history="1">
            <w:r w:rsidR="00966159" w:rsidRPr="005A2F73">
              <w:rPr>
                <w:rStyle w:val="Hyperlink"/>
                <w:noProof/>
              </w:rPr>
              <w:t>6.</w:t>
            </w:r>
            <w:r w:rsidR="00966159">
              <w:rPr>
                <w:rFonts w:asciiTheme="minorHAnsi" w:eastAsiaTheme="minorEastAsia" w:hAnsiTheme="minorHAnsi" w:cstheme="minorBidi"/>
                <w:noProof/>
                <w:kern w:val="2"/>
                <w:sz w:val="24"/>
                <w:szCs w:val="24"/>
                <w:lang w:val="en-US"/>
                <w14:ligatures w14:val="standardContextual"/>
              </w:rPr>
              <w:tab/>
            </w:r>
            <w:r w:rsidR="00966159" w:rsidRPr="005A2F73">
              <w:rPr>
                <w:rStyle w:val="Hyperlink"/>
                <w:noProof/>
              </w:rPr>
              <w:t>POSJETA LOKACIJI I SASTANAK ZA RAZJAŠNJENJE</w:t>
            </w:r>
            <w:r w:rsidR="00966159">
              <w:rPr>
                <w:noProof/>
                <w:webHidden/>
              </w:rPr>
              <w:tab/>
            </w:r>
            <w:r w:rsidR="00966159">
              <w:rPr>
                <w:noProof/>
                <w:webHidden/>
              </w:rPr>
              <w:fldChar w:fldCharType="begin"/>
            </w:r>
            <w:r w:rsidR="00966159">
              <w:rPr>
                <w:noProof/>
                <w:webHidden/>
              </w:rPr>
              <w:instrText xml:space="preserve"> PAGEREF _Toc189806972 \h </w:instrText>
            </w:r>
            <w:r w:rsidR="00966159">
              <w:rPr>
                <w:noProof/>
                <w:webHidden/>
              </w:rPr>
            </w:r>
            <w:r w:rsidR="00966159">
              <w:rPr>
                <w:noProof/>
                <w:webHidden/>
              </w:rPr>
              <w:fldChar w:fldCharType="separate"/>
            </w:r>
            <w:r w:rsidR="00E97A2E">
              <w:rPr>
                <w:noProof/>
                <w:webHidden/>
              </w:rPr>
              <w:t>4</w:t>
            </w:r>
            <w:r w:rsidR="00966159">
              <w:rPr>
                <w:noProof/>
                <w:webHidden/>
              </w:rPr>
              <w:fldChar w:fldCharType="end"/>
            </w:r>
          </w:hyperlink>
        </w:p>
        <w:p w:rsidR="00966159" w:rsidRDefault="00AD3E7C">
          <w:pPr>
            <w:pStyle w:val="TOC1"/>
            <w:tabs>
              <w:tab w:val="right" w:leader="dot" w:pos="9301"/>
            </w:tabs>
            <w:rPr>
              <w:rFonts w:asciiTheme="minorHAnsi" w:eastAsiaTheme="minorEastAsia" w:hAnsiTheme="minorHAnsi" w:cstheme="minorBidi"/>
              <w:noProof/>
              <w:kern w:val="2"/>
              <w:sz w:val="24"/>
              <w:szCs w:val="24"/>
              <w:lang w:val="en-US"/>
              <w14:ligatures w14:val="standardContextual"/>
            </w:rPr>
          </w:pPr>
          <w:hyperlink w:anchor="_Toc189806973" w:history="1">
            <w:r w:rsidR="00966159" w:rsidRPr="005A2F73">
              <w:rPr>
                <w:rStyle w:val="Hyperlink"/>
                <w:noProof/>
              </w:rPr>
              <w:t>TENDERSKA DOKUMENTACIJA</w:t>
            </w:r>
            <w:r w:rsidR="00966159">
              <w:rPr>
                <w:noProof/>
                <w:webHidden/>
              </w:rPr>
              <w:tab/>
            </w:r>
            <w:r w:rsidR="00966159">
              <w:rPr>
                <w:noProof/>
                <w:webHidden/>
              </w:rPr>
              <w:fldChar w:fldCharType="begin"/>
            </w:r>
            <w:r w:rsidR="00966159">
              <w:rPr>
                <w:noProof/>
                <w:webHidden/>
              </w:rPr>
              <w:instrText xml:space="preserve"> PAGEREF _Toc189806973 \h </w:instrText>
            </w:r>
            <w:r w:rsidR="00966159">
              <w:rPr>
                <w:noProof/>
                <w:webHidden/>
              </w:rPr>
            </w:r>
            <w:r w:rsidR="00966159">
              <w:rPr>
                <w:noProof/>
                <w:webHidden/>
              </w:rPr>
              <w:fldChar w:fldCharType="separate"/>
            </w:r>
            <w:r w:rsidR="00E97A2E">
              <w:rPr>
                <w:noProof/>
                <w:webHidden/>
              </w:rPr>
              <w:t>4</w:t>
            </w:r>
            <w:r w:rsidR="00966159">
              <w:rPr>
                <w:noProof/>
                <w:webHidden/>
              </w:rPr>
              <w:fldChar w:fldCharType="end"/>
            </w:r>
          </w:hyperlink>
        </w:p>
        <w:p w:rsidR="00966159" w:rsidRDefault="00AD3E7C">
          <w:pPr>
            <w:pStyle w:val="TOC2"/>
            <w:tabs>
              <w:tab w:val="left" w:pos="660"/>
              <w:tab w:val="right" w:leader="dot" w:pos="9301"/>
            </w:tabs>
            <w:rPr>
              <w:rFonts w:asciiTheme="minorHAnsi" w:eastAsiaTheme="minorEastAsia" w:hAnsiTheme="minorHAnsi" w:cstheme="minorBidi"/>
              <w:noProof/>
              <w:kern w:val="2"/>
              <w:sz w:val="24"/>
              <w:szCs w:val="24"/>
              <w:lang w:val="en-US"/>
              <w14:ligatures w14:val="standardContextual"/>
            </w:rPr>
          </w:pPr>
          <w:hyperlink w:anchor="_Toc189806974" w:history="1">
            <w:r w:rsidR="00966159" w:rsidRPr="005A2F73">
              <w:rPr>
                <w:rStyle w:val="Hyperlink"/>
                <w:noProof/>
              </w:rPr>
              <w:t>7.</w:t>
            </w:r>
            <w:r w:rsidR="00966159">
              <w:rPr>
                <w:rFonts w:asciiTheme="minorHAnsi" w:eastAsiaTheme="minorEastAsia" w:hAnsiTheme="minorHAnsi" w:cstheme="minorBidi"/>
                <w:noProof/>
                <w:kern w:val="2"/>
                <w:sz w:val="24"/>
                <w:szCs w:val="24"/>
                <w:lang w:val="en-US"/>
                <w14:ligatures w14:val="standardContextual"/>
              </w:rPr>
              <w:tab/>
            </w:r>
            <w:r w:rsidR="00966159" w:rsidRPr="005A2F73">
              <w:rPr>
                <w:rStyle w:val="Hyperlink"/>
                <w:noProof/>
              </w:rPr>
              <w:t>SADRŽAJ TENDERSKE DOKUMENTACIJE</w:t>
            </w:r>
            <w:r w:rsidR="00966159">
              <w:rPr>
                <w:noProof/>
                <w:webHidden/>
              </w:rPr>
              <w:tab/>
            </w:r>
            <w:r w:rsidR="00966159">
              <w:rPr>
                <w:noProof/>
                <w:webHidden/>
              </w:rPr>
              <w:fldChar w:fldCharType="begin"/>
            </w:r>
            <w:r w:rsidR="00966159">
              <w:rPr>
                <w:noProof/>
                <w:webHidden/>
              </w:rPr>
              <w:instrText xml:space="preserve"> PAGEREF _Toc189806974 \h </w:instrText>
            </w:r>
            <w:r w:rsidR="00966159">
              <w:rPr>
                <w:noProof/>
                <w:webHidden/>
              </w:rPr>
            </w:r>
            <w:r w:rsidR="00966159">
              <w:rPr>
                <w:noProof/>
                <w:webHidden/>
              </w:rPr>
              <w:fldChar w:fldCharType="separate"/>
            </w:r>
            <w:r w:rsidR="00E97A2E">
              <w:rPr>
                <w:noProof/>
                <w:webHidden/>
              </w:rPr>
              <w:t>4</w:t>
            </w:r>
            <w:r w:rsidR="00966159">
              <w:rPr>
                <w:noProof/>
                <w:webHidden/>
              </w:rPr>
              <w:fldChar w:fldCharType="end"/>
            </w:r>
          </w:hyperlink>
        </w:p>
        <w:p w:rsidR="00966159" w:rsidRDefault="00AD3E7C">
          <w:pPr>
            <w:pStyle w:val="TOC2"/>
            <w:tabs>
              <w:tab w:val="left" w:pos="660"/>
              <w:tab w:val="right" w:leader="dot" w:pos="9301"/>
            </w:tabs>
            <w:rPr>
              <w:rFonts w:asciiTheme="minorHAnsi" w:eastAsiaTheme="minorEastAsia" w:hAnsiTheme="minorHAnsi" w:cstheme="minorBidi"/>
              <w:noProof/>
              <w:kern w:val="2"/>
              <w:sz w:val="24"/>
              <w:szCs w:val="24"/>
              <w:lang w:val="en-US"/>
              <w14:ligatures w14:val="standardContextual"/>
            </w:rPr>
          </w:pPr>
          <w:hyperlink w:anchor="_Toc189806975" w:history="1">
            <w:r w:rsidR="00966159" w:rsidRPr="005A2F73">
              <w:rPr>
                <w:rStyle w:val="Hyperlink"/>
                <w:noProof/>
              </w:rPr>
              <w:t>8.</w:t>
            </w:r>
            <w:r w:rsidR="00966159">
              <w:rPr>
                <w:rFonts w:asciiTheme="minorHAnsi" w:eastAsiaTheme="minorEastAsia" w:hAnsiTheme="minorHAnsi" w:cstheme="minorBidi"/>
                <w:noProof/>
                <w:kern w:val="2"/>
                <w:sz w:val="24"/>
                <w:szCs w:val="24"/>
                <w:lang w:val="en-US"/>
                <w14:ligatures w14:val="standardContextual"/>
              </w:rPr>
              <w:tab/>
            </w:r>
            <w:r w:rsidR="00966159" w:rsidRPr="005A2F73">
              <w:rPr>
                <w:rStyle w:val="Hyperlink"/>
                <w:noProof/>
              </w:rPr>
              <w:t>OBJAŠNJENJA TENDERSKE DOKUMENTACIJE</w:t>
            </w:r>
            <w:r w:rsidR="00966159">
              <w:rPr>
                <w:noProof/>
                <w:webHidden/>
              </w:rPr>
              <w:tab/>
            </w:r>
            <w:r w:rsidR="00966159">
              <w:rPr>
                <w:noProof/>
                <w:webHidden/>
              </w:rPr>
              <w:fldChar w:fldCharType="begin"/>
            </w:r>
            <w:r w:rsidR="00966159">
              <w:rPr>
                <w:noProof/>
                <w:webHidden/>
              </w:rPr>
              <w:instrText xml:space="preserve"> PAGEREF _Toc189806975 \h </w:instrText>
            </w:r>
            <w:r w:rsidR="00966159">
              <w:rPr>
                <w:noProof/>
                <w:webHidden/>
              </w:rPr>
            </w:r>
            <w:r w:rsidR="00966159">
              <w:rPr>
                <w:noProof/>
                <w:webHidden/>
              </w:rPr>
              <w:fldChar w:fldCharType="separate"/>
            </w:r>
            <w:r w:rsidR="00E97A2E">
              <w:rPr>
                <w:noProof/>
                <w:webHidden/>
              </w:rPr>
              <w:t>5</w:t>
            </w:r>
            <w:r w:rsidR="00966159">
              <w:rPr>
                <w:noProof/>
                <w:webHidden/>
              </w:rPr>
              <w:fldChar w:fldCharType="end"/>
            </w:r>
          </w:hyperlink>
        </w:p>
        <w:p w:rsidR="00966159" w:rsidRDefault="00AD3E7C">
          <w:pPr>
            <w:pStyle w:val="TOC2"/>
            <w:tabs>
              <w:tab w:val="left" w:pos="660"/>
              <w:tab w:val="right" w:leader="dot" w:pos="9301"/>
            </w:tabs>
            <w:rPr>
              <w:rFonts w:asciiTheme="minorHAnsi" w:eastAsiaTheme="minorEastAsia" w:hAnsiTheme="minorHAnsi" w:cstheme="minorBidi"/>
              <w:noProof/>
              <w:kern w:val="2"/>
              <w:sz w:val="24"/>
              <w:szCs w:val="24"/>
              <w:lang w:val="en-US"/>
              <w14:ligatures w14:val="standardContextual"/>
            </w:rPr>
          </w:pPr>
          <w:hyperlink w:anchor="_Toc189806976" w:history="1">
            <w:r w:rsidR="00966159" w:rsidRPr="005A2F73">
              <w:rPr>
                <w:rStyle w:val="Hyperlink"/>
                <w:noProof/>
              </w:rPr>
              <w:t>9.</w:t>
            </w:r>
            <w:r w:rsidR="00966159">
              <w:rPr>
                <w:rFonts w:asciiTheme="minorHAnsi" w:eastAsiaTheme="minorEastAsia" w:hAnsiTheme="minorHAnsi" w:cstheme="minorBidi"/>
                <w:noProof/>
                <w:kern w:val="2"/>
                <w:sz w:val="24"/>
                <w:szCs w:val="24"/>
                <w:lang w:val="en-US"/>
                <w14:ligatures w14:val="standardContextual"/>
              </w:rPr>
              <w:tab/>
            </w:r>
            <w:r w:rsidR="00966159" w:rsidRPr="005A2F73">
              <w:rPr>
                <w:rStyle w:val="Hyperlink"/>
                <w:noProof/>
              </w:rPr>
              <w:t>IZMJENE TENDERSKE DOKUMENTACIJE</w:t>
            </w:r>
            <w:r w:rsidR="00966159">
              <w:rPr>
                <w:noProof/>
                <w:webHidden/>
              </w:rPr>
              <w:tab/>
            </w:r>
            <w:r w:rsidR="00966159">
              <w:rPr>
                <w:noProof/>
                <w:webHidden/>
              </w:rPr>
              <w:fldChar w:fldCharType="begin"/>
            </w:r>
            <w:r w:rsidR="00966159">
              <w:rPr>
                <w:noProof/>
                <w:webHidden/>
              </w:rPr>
              <w:instrText xml:space="preserve"> PAGEREF _Toc189806976 \h </w:instrText>
            </w:r>
            <w:r w:rsidR="00966159">
              <w:rPr>
                <w:noProof/>
                <w:webHidden/>
              </w:rPr>
            </w:r>
            <w:r w:rsidR="00966159">
              <w:rPr>
                <w:noProof/>
                <w:webHidden/>
              </w:rPr>
              <w:fldChar w:fldCharType="separate"/>
            </w:r>
            <w:r w:rsidR="00E97A2E">
              <w:rPr>
                <w:noProof/>
                <w:webHidden/>
              </w:rPr>
              <w:t>5</w:t>
            </w:r>
            <w:r w:rsidR="00966159">
              <w:rPr>
                <w:noProof/>
                <w:webHidden/>
              </w:rPr>
              <w:fldChar w:fldCharType="end"/>
            </w:r>
          </w:hyperlink>
        </w:p>
        <w:p w:rsidR="00966159" w:rsidRDefault="00AD3E7C">
          <w:pPr>
            <w:pStyle w:val="TOC1"/>
            <w:tabs>
              <w:tab w:val="right" w:leader="dot" w:pos="9301"/>
            </w:tabs>
            <w:rPr>
              <w:rFonts w:asciiTheme="minorHAnsi" w:eastAsiaTheme="minorEastAsia" w:hAnsiTheme="minorHAnsi" w:cstheme="minorBidi"/>
              <w:noProof/>
              <w:kern w:val="2"/>
              <w:sz w:val="24"/>
              <w:szCs w:val="24"/>
              <w:lang w:val="en-US"/>
              <w14:ligatures w14:val="standardContextual"/>
            </w:rPr>
          </w:pPr>
          <w:hyperlink w:anchor="_Toc189806977" w:history="1">
            <w:r w:rsidR="00966159" w:rsidRPr="005A2F73">
              <w:rPr>
                <w:rStyle w:val="Hyperlink"/>
                <w:noProof/>
              </w:rPr>
              <w:t>PRIPREMA TENDERA</w:t>
            </w:r>
            <w:r w:rsidR="00966159">
              <w:rPr>
                <w:noProof/>
                <w:webHidden/>
              </w:rPr>
              <w:tab/>
            </w:r>
            <w:r w:rsidR="00966159">
              <w:rPr>
                <w:noProof/>
                <w:webHidden/>
              </w:rPr>
              <w:fldChar w:fldCharType="begin"/>
            </w:r>
            <w:r w:rsidR="00966159">
              <w:rPr>
                <w:noProof/>
                <w:webHidden/>
              </w:rPr>
              <w:instrText xml:space="preserve"> PAGEREF _Toc189806977 \h </w:instrText>
            </w:r>
            <w:r w:rsidR="00966159">
              <w:rPr>
                <w:noProof/>
                <w:webHidden/>
              </w:rPr>
            </w:r>
            <w:r w:rsidR="00966159">
              <w:rPr>
                <w:noProof/>
                <w:webHidden/>
              </w:rPr>
              <w:fldChar w:fldCharType="separate"/>
            </w:r>
            <w:r w:rsidR="00E97A2E">
              <w:rPr>
                <w:noProof/>
                <w:webHidden/>
              </w:rPr>
              <w:t>5</w:t>
            </w:r>
            <w:r w:rsidR="00966159">
              <w:rPr>
                <w:noProof/>
                <w:webHidden/>
              </w:rPr>
              <w:fldChar w:fldCharType="end"/>
            </w:r>
          </w:hyperlink>
        </w:p>
        <w:p w:rsidR="00966159" w:rsidRDefault="00AD3E7C">
          <w:pPr>
            <w:pStyle w:val="TOC2"/>
            <w:tabs>
              <w:tab w:val="left" w:pos="880"/>
              <w:tab w:val="right" w:leader="dot" w:pos="9301"/>
            </w:tabs>
            <w:rPr>
              <w:rFonts w:asciiTheme="minorHAnsi" w:eastAsiaTheme="minorEastAsia" w:hAnsiTheme="minorHAnsi" w:cstheme="minorBidi"/>
              <w:noProof/>
              <w:kern w:val="2"/>
              <w:sz w:val="24"/>
              <w:szCs w:val="24"/>
              <w:lang w:val="en-US"/>
              <w14:ligatures w14:val="standardContextual"/>
            </w:rPr>
          </w:pPr>
          <w:hyperlink w:anchor="_Toc189806978" w:history="1">
            <w:r w:rsidR="00966159" w:rsidRPr="005A2F73">
              <w:rPr>
                <w:rStyle w:val="Hyperlink"/>
                <w:noProof/>
              </w:rPr>
              <w:t>10.</w:t>
            </w:r>
            <w:r w:rsidR="00966159">
              <w:rPr>
                <w:rFonts w:asciiTheme="minorHAnsi" w:eastAsiaTheme="minorEastAsia" w:hAnsiTheme="minorHAnsi" w:cstheme="minorBidi"/>
                <w:noProof/>
                <w:kern w:val="2"/>
                <w:sz w:val="24"/>
                <w:szCs w:val="24"/>
                <w:lang w:val="en-US"/>
                <w14:ligatures w14:val="standardContextual"/>
              </w:rPr>
              <w:tab/>
            </w:r>
            <w:r w:rsidR="00F44E65">
              <w:rPr>
                <w:rStyle w:val="Hyperlink"/>
                <w:noProof/>
              </w:rPr>
              <w:t>KOMUNIKACIJA</w:t>
            </w:r>
            <w:r w:rsidR="005C1880">
              <w:rPr>
                <w:rStyle w:val="Hyperlink"/>
                <w:noProof/>
              </w:rPr>
              <w:t xml:space="preserve"> </w:t>
            </w:r>
            <w:r w:rsidR="00966159" w:rsidRPr="005A2F73">
              <w:rPr>
                <w:rStyle w:val="Hyperlink"/>
                <w:noProof/>
              </w:rPr>
              <w:t xml:space="preserve"> TENDERA</w:t>
            </w:r>
            <w:r w:rsidR="00966159">
              <w:rPr>
                <w:noProof/>
                <w:webHidden/>
              </w:rPr>
              <w:tab/>
            </w:r>
            <w:r w:rsidR="00966159">
              <w:rPr>
                <w:noProof/>
                <w:webHidden/>
              </w:rPr>
              <w:fldChar w:fldCharType="begin"/>
            </w:r>
            <w:r w:rsidR="00966159">
              <w:rPr>
                <w:noProof/>
                <w:webHidden/>
              </w:rPr>
              <w:instrText xml:space="preserve"> PAGEREF _Toc189806978 \h </w:instrText>
            </w:r>
            <w:r w:rsidR="00966159">
              <w:rPr>
                <w:noProof/>
                <w:webHidden/>
              </w:rPr>
            </w:r>
            <w:r w:rsidR="00966159">
              <w:rPr>
                <w:noProof/>
                <w:webHidden/>
              </w:rPr>
              <w:fldChar w:fldCharType="separate"/>
            </w:r>
            <w:r w:rsidR="00E97A2E">
              <w:rPr>
                <w:noProof/>
                <w:webHidden/>
              </w:rPr>
              <w:t>5</w:t>
            </w:r>
            <w:r w:rsidR="00966159">
              <w:rPr>
                <w:noProof/>
                <w:webHidden/>
              </w:rPr>
              <w:fldChar w:fldCharType="end"/>
            </w:r>
          </w:hyperlink>
        </w:p>
        <w:p w:rsidR="00966159" w:rsidRDefault="00AD3E7C">
          <w:pPr>
            <w:pStyle w:val="TOC2"/>
            <w:tabs>
              <w:tab w:val="left" w:pos="880"/>
              <w:tab w:val="right" w:leader="dot" w:pos="9301"/>
            </w:tabs>
            <w:rPr>
              <w:rFonts w:asciiTheme="minorHAnsi" w:eastAsiaTheme="minorEastAsia" w:hAnsiTheme="minorHAnsi" w:cstheme="minorBidi"/>
              <w:noProof/>
              <w:kern w:val="2"/>
              <w:sz w:val="24"/>
              <w:szCs w:val="24"/>
              <w:lang w:val="en-US"/>
              <w14:ligatures w14:val="standardContextual"/>
            </w:rPr>
          </w:pPr>
          <w:hyperlink w:anchor="_Toc189806979" w:history="1">
            <w:r w:rsidR="00966159" w:rsidRPr="005A2F73">
              <w:rPr>
                <w:rStyle w:val="Hyperlink"/>
                <w:noProof/>
              </w:rPr>
              <w:t>11.</w:t>
            </w:r>
            <w:r w:rsidR="00966159">
              <w:rPr>
                <w:rFonts w:asciiTheme="minorHAnsi" w:eastAsiaTheme="minorEastAsia" w:hAnsiTheme="minorHAnsi" w:cstheme="minorBidi"/>
                <w:noProof/>
                <w:kern w:val="2"/>
                <w:sz w:val="24"/>
                <w:szCs w:val="24"/>
                <w:lang w:val="en-US"/>
                <w14:ligatures w14:val="standardContextual"/>
              </w:rPr>
              <w:tab/>
            </w:r>
            <w:r w:rsidR="00966159" w:rsidRPr="005A2F73">
              <w:rPr>
                <w:rStyle w:val="Hyperlink"/>
                <w:noProof/>
              </w:rPr>
              <w:t>SADRŽAJ I PREZENTACIJA PONUDE</w:t>
            </w:r>
            <w:r w:rsidR="00966159">
              <w:rPr>
                <w:noProof/>
                <w:webHidden/>
              </w:rPr>
              <w:tab/>
            </w:r>
            <w:r w:rsidR="00966159">
              <w:rPr>
                <w:noProof/>
                <w:webHidden/>
              </w:rPr>
              <w:fldChar w:fldCharType="begin"/>
            </w:r>
            <w:r w:rsidR="00966159">
              <w:rPr>
                <w:noProof/>
                <w:webHidden/>
              </w:rPr>
              <w:instrText xml:space="preserve"> PAGEREF _Toc189806979 \h </w:instrText>
            </w:r>
            <w:r w:rsidR="00966159">
              <w:rPr>
                <w:noProof/>
                <w:webHidden/>
              </w:rPr>
            </w:r>
            <w:r w:rsidR="00966159">
              <w:rPr>
                <w:noProof/>
                <w:webHidden/>
              </w:rPr>
              <w:fldChar w:fldCharType="separate"/>
            </w:r>
            <w:r w:rsidR="00E97A2E">
              <w:rPr>
                <w:noProof/>
                <w:webHidden/>
              </w:rPr>
              <w:t>5</w:t>
            </w:r>
            <w:r w:rsidR="00966159">
              <w:rPr>
                <w:noProof/>
                <w:webHidden/>
              </w:rPr>
              <w:fldChar w:fldCharType="end"/>
            </w:r>
          </w:hyperlink>
        </w:p>
        <w:p w:rsidR="00966159" w:rsidRDefault="00AD3E7C">
          <w:pPr>
            <w:pStyle w:val="TOC2"/>
            <w:tabs>
              <w:tab w:val="left" w:pos="880"/>
              <w:tab w:val="right" w:leader="dot" w:pos="9301"/>
            </w:tabs>
            <w:rPr>
              <w:rFonts w:asciiTheme="minorHAnsi" w:eastAsiaTheme="minorEastAsia" w:hAnsiTheme="minorHAnsi" w:cstheme="minorBidi"/>
              <w:noProof/>
              <w:kern w:val="2"/>
              <w:sz w:val="24"/>
              <w:szCs w:val="24"/>
              <w:lang w:val="en-US"/>
              <w14:ligatures w14:val="standardContextual"/>
            </w:rPr>
          </w:pPr>
          <w:hyperlink w:anchor="_Toc189806980" w:history="1">
            <w:r w:rsidR="00966159" w:rsidRPr="005A2F73">
              <w:rPr>
                <w:rStyle w:val="Hyperlink"/>
                <w:noProof/>
              </w:rPr>
              <w:t>12.</w:t>
            </w:r>
            <w:r w:rsidR="00966159">
              <w:rPr>
                <w:rFonts w:asciiTheme="minorHAnsi" w:eastAsiaTheme="minorEastAsia" w:hAnsiTheme="minorHAnsi" w:cstheme="minorBidi"/>
                <w:noProof/>
                <w:kern w:val="2"/>
                <w:sz w:val="24"/>
                <w:szCs w:val="24"/>
                <w:lang w:val="en-US"/>
                <w14:ligatures w14:val="standardContextual"/>
              </w:rPr>
              <w:tab/>
            </w:r>
            <w:r w:rsidR="00966159" w:rsidRPr="005A2F73">
              <w:rPr>
                <w:rStyle w:val="Hyperlink"/>
                <w:noProof/>
              </w:rPr>
              <w:t>INFORMACIJE/DOKUMENTE KOJE KOJE DOSTAVI PONUĐAČ</w:t>
            </w:r>
            <w:r w:rsidR="00966159">
              <w:rPr>
                <w:noProof/>
                <w:webHidden/>
              </w:rPr>
              <w:tab/>
            </w:r>
            <w:r w:rsidR="00966159">
              <w:rPr>
                <w:noProof/>
                <w:webHidden/>
              </w:rPr>
              <w:fldChar w:fldCharType="begin"/>
            </w:r>
            <w:r w:rsidR="00966159">
              <w:rPr>
                <w:noProof/>
                <w:webHidden/>
              </w:rPr>
              <w:instrText xml:space="preserve"> PAGEREF _Toc189806980 \h </w:instrText>
            </w:r>
            <w:r w:rsidR="00966159">
              <w:rPr>
                <w:noProof/>
                <w:webHidden/>
              </w:rPr>
            </w:r>
            <w:r w:rsidR="00966159">
              <w:rPr>
                <w:noProof/>
                <w:webHidden/>
              </w:rPr>
              <w:fldChar w:fldCharType="separate"/>
            </w:r>
            <w:r w:rsidR="00E97A2E">
              <w:rPr>
                <w:noProof/>
                <w:webHidden/>
              </w:rPr>
              <w:t>6</w:t>
            </w:r>
            <w:r w:rsidR="00966159">
              <w:rPr>
                <w:noProof/>
                <w:webHidden/>
              </w:rPr>
              <w:fldChar w:fldCharType="end"/>
            </w:r>
          </w:hyperlink>
        </w:p>
        <w:p w:rsidR="00966159" w:rsidRDefault="00AD3E7C">
          <w:pPr>
            <w:pStyle w:val="TOC2"/>
            <w:tabs>
              <w:tab w:val="left" w:pos="880"/>
              <w:tab w:val="right" w:leader="dot" w:pos="9301"/>
            </w:tabs>
            <w:rPr>
              <w:rFonts w:asciiTheme="minorHAnsi" w:eastAsiaTheme="minorEastAsia" w:hAnsiTheme="minorHAnsi" w:cstheme="minorBidi"/>
              <w:noProof/>
              <w:kern w:val="2"/>
              <w:sz w:val="24"/>
              <w:szCs w:val="24"/>
              <w:lang w:val="en-US"/>
              <w14:ligatures w14:val="standardContextual"/>
            </w:rPr>
          </w:pPr>
          <w:hyperlink w:anchor="_Toc189806981" w:history="1">
            <w:r w:rsidR="00966159" w:rsidRPr="005A2F73">
              <w:rPr>
                <w:rStyle w:val="Hyperlink"/>
                <w:noProof/>
              </w:rPr>
              <w:t>13.</w:t>
            </w:r>
            <w:r w:rsidR="00966159">
              <w:rPr>
                <w:rFonts w:asciiTheme="minorHAnsi" w:eastAsiaTheme="minorEastAsia" w:hAnsiTheme="minorHAnsi" w:cstheme="minorBidi"/>
                <w:noProof/>
                <w:kern w:val="2"/>
                <w:sz w:val="24"/>
                <w:szCs w:val="24"/>
                <w:lang w:val="en-US"/>
                <w14:ligatures w14:val="standardContextual"/>
              </w:rPr>
              <w:tab/>
            </w:r>
            <w:r w:rsidR="00966159" w:rsidRPr="005A2F73">
              <w:rPr>
                <w:rStyle w:val="Hyperlink"/>
                <w:noProof/>
              </w:rPr>
              <w:t>TENDERSKE CIJENE</w:t>
            </w:r>
            <w:r w:rsidR="00966159">
              <w:rPr>
                <w:noProof/>
                <w:webHidden/>
              </w:rPr>
              <w:tab/>
            </w:r>
            <w:r w:rsidR="00966159">
              <w:rPr>
                <w:noProof/>
                <w:webHidden/>
              </w:rPr>
              <w:fldChar w:fldCharType="begin"/>
            </w:r>
            <w:r w:rsidR="00966159">
              <w:rPr>
                <w:noProof/>
                <w:webHidden/>
              </w:rPr>
              <w:instrText xml:space="preserve"> PAGEREF _Toc189806981 \h </w:instrText>
            </w:r>
            <w:r w:rsidR="00966159">
              <w:rPr>
                <w:noProof/>
                <w:webHidden/>
              </w:rPr>
            </w:r>
            <w:r w:rsidR="00966159">
              <w:rPr>
                <w:noProof/>
                <w:webHidden/>
              </w:rPr>
              <w:fldChar w:fldCharType="separate"/>
            </w:r>
            <w:r w:rsidR="00E97A2E">
              <w:rPr>
                <w:noProof/>
                <w:webHidden/>
              </w:rPr>
              <w:t>7</w:t>
            </w:r>
            <w:r w:rsidR="00966159">
              <w:rPr>
                <w:noProof/>
                <w:webHidden/>
              </w:rPr>
              <w:fldChar w:fldCharType="end"/>
            </w:r>
          </w:hyperlink>
        </w:p>
        <w:p w:rsidR="00966159" w:rsidRDefault="00AD3E7C">
          <w:pPr>
            <w:pStyle w:val="TOC2"/>
            <w:tabs>
              <w:tab w:val="left" w:pos="880"/>
              <w:tab w:val="right" w:leader="dot" w:pos="9301"/>
            </w:tabs>
            <w:rPr>
              <w:rFonts w:asciiTheme="minorHAnsi" w:eastAsiaTheme="minorEastAsia" w:hAnsiTheme="minorHAnsi" w:cstheme="minorBidi"/>
              <w:noProof/>
              <w:kern w:val="2"/>
              <w:sz w:val="24"/>
              <w:szCs w:val="24"/>
              <w:lang w:val="en-US"/>
              <w14:ligatures w14:val="standardContextual"/>
            </w:rPr>
          </w:pPr>
          <w:hyperlink w:anchor="_Toc189806982" w:history="1">
            <w:r w:rsidR="00966159" w:rsidRPr="005A2F73">
              <w:rPr>
                <w:rStyle w:val="Hyperlink"/>
                <w:noProof/>
              </w:rPr>
              <w:t>14.</w:t>
            </w:r>
            <w:r w:rsidR="00966159">
              <w:rPr>
                <w:rFonts w:asciiTheme="minorHAnsi" w:eastAsiaTheme="minorEastAsia" w:hAnsiTheme="minorHAnsi" w:cstheme="minorBidi"/>
                <w:noProof/>
                <w:kern w:val="2"/>
                <w:sz w:val="24"/>
                <w:szCs w:val="24"/>
                <w:lang w:val="en-US"/>
                <w14:ligatures w14:val="standardContextual"/>
              </w:rPr>
              <w:tab/>
            </w:r>
            <w:r w:rsidR="00966159" w:rsidRPr="005A2F73">
              <w:rPr>
                <w:rStyle w:val="Hyperlink"/>
                <w:noProof/>
              </w:rPr>
              <w:t>ROK VAŽENJA PONUDA</w:t>
            </w:r>
            <w:r w:rsidR="00966159">
              <w:rPr>
                <w:noProof/>
                <w:webHidden/>
              </w:rPr>
              <w:tab/>
            </w:r>
            <w:r w:rsidR="00966159">
              <w:rPr>
                <w:noProof/>
                <w:webHidden/>
              </w:rPr>
              <w:fldChar w:fldCharType="begin"/>
            </w:r>
            <w:r w:rsidR="00966159">
              <w:rPr>
                <w:noProof/>
                <w:webHidden/>
              </w:rPr>
              <w:instrText xml:space="preserve"> PAGEREF _Toc189806982 \h </w:instrText>
            </w:r>
            <w:r w:rsidR="00966159">
              <w:rPr>
                <w:noProof/>
                <w:webHidden/>
              </w:rPr>
            </w:r>
            <w:r w:rsidR="00966159">
              <w:rPr>
                <w:noProof/>
                <w:webHidden/>
              </w:rPr>
              <w:fldChar w:fldCharType="separate"/>
            </w:r>
            <w:r w:rsidR="00E97A2E">
              <w:rPr>
                <w:noProof/>
                <w:webHidden/>
              </w:rPr>
              <w:t>8</w:t>
            </w:r>
            <w:r w:rsidR="00966159">
              <w:rPr>
                <w:noProof/>
                <w:webHidden/>
              </w:rPr>
              <w:fldChar w:fldCharType="end"/>
            </w:r>
          </w:hyperlink>
        </w:p>
        <w:p w:rsidR="00966159" w:rsidRDefault="00AD3E7C">
          <w:pPr>
            <w:pStyle w:val="TOC2"/>
            <w:tabs>
              <w:tab w:val="left" w:pos="880"/>
              <w:tab w:val="right" w:leader="dot" w:pos="9301"/>
            </w:tabs>
            <w:rPr>
              <w:rFonts w:asciiTheme="minorHAnsi" w:eastAsiaTheme="minorEastAsia" w:hAnsiTheme="minorHAnsi" w:cstheme="minorBidi"/>
              <w:noProof/>
              <w:kern w:val="2"/>
              <w:sz w:val="24"/>
              <w:szCs w:val="24"/>
              <w:lang w:val="en-US"/>
              <w14:ligatures w14:val="standardContextual"/>
            </w:rPr>
          </w:pPr>
          <w:hyperlink w:anchor="_Toc189806983" w:history="1">
            <w:r w:rsidR="00966159" w:rsidRPr="005A2F73">
              <w:rPr>
                <w:rStyle w:val="Hyperlink"/>
                <w:noProof/>
              </w:rPr>
              <w:t>15.</w:t>
            </w:r>
            <w:r w:rsidR="00966159">
              <w:rPr>
                <w:rFonts w:asciiTheme="minorHAnsi" w:eastAsiaTheme="minorEastAsia" w:hAnsiTheme="minorHAnsi" w:cstheme="minorBidi"/>
                <w:noProof/>
                <w:kern w:val="2"/>
                <w:sz w:val="24"/>
                <w:szCs w:val="24"/>
                <w:lang w:val="en-US"/>
                <w14:ligatures w14:val="standardContextual"/>
              </w:rPr>
              <w:tab/>
            </w:r>
            <w:r w:rsidR="00966159" w:rsidRPr="005A2F73">
              <w:rPr>
                <w:rStyle w:val="Hyperlink"/>
                <w:noProof/>
              </w:rPr>
              <w:t>GARANCIJA TENDERA</w:t>
            </w:r>
            <w:r w:rsidR="00966159">
              <w:rPr>
                <w:noProof/>
                <w:webHidden/>
              </w:rPr>
              <w:tab/>
            </w:r>
            <w:r w:rsidR="00966159">
              <w:rPr>
                <w:noProof/>
                <w:webHidden/>
              </w:rPr>
              <w:fldChar w:fldCharType="begin"/>
            </w:r>
            <w:r w:rsidR="00966159">
              <w:rPr>
                <w:noProof/>
                <w:webHidden/>
              </w:rPr>
              <w:instrText xml:space="preserve"> PAGEREF _Toc189806983 \h </w:instrText>
            </w:r>
            <w:r w:rsidR="00966159">
              <w:rPr>
                <w:noProof/>
                <w:webHidden/>
              </w:rPr>
            </w:r>
            <w:r w:rsidR="00966159">
              <w:rPr>
                <w:noProof/>
                <w:webHidden/>
              </w:rPr>
              <w:fldChar w:fldCharType="separate"/>
            </w:r>
            <w:r w:rsidR="00E97A2E">
              <w:rPr>
                <w:noProof/>
                <w:webHidden/>
              </w:rPr>
              <w:t>8</w:t>
            </w:r>
            <w:r w:rsidR="00966159">
              <w:rPr>
                <w:noProof/>
                <w:webHidden/>
              </w:rPr>
              <w:fldChar w:fldCharType="end"/>
            </w:r>
          </w:hyperlink>
        </w:p>
        <w:p w:rsidR="00966159" w:rsidRDefault="00AD3E7C">
          <w:pPr>
            <w:pStyle w:val="TOC2"/>
            <w:tabs>
              <w:tab w:val="left" w:pos="880"/>
              <w:tab w:val="right" w:leader="dot" w:pos="9301"/>
            </w:tabs>
            <w:rPr>
              <w:rFonts w:asciiTheme="minorHAnsi" w:eastAsiaTheme="minorEastAsia" w:hAnsiTheme="minorHAnsi" w:cstheme="minorBidi"/>
              <w:noProof/>
              <w:kern w:val="2"/>
              <w:sz w:val="24"/>
              <w:szCs w:val="24"/>
              <w:lang w:val="en-US"/>
              <w14:ligatures w14:val="standardContextual"/>
            </w:rPr>
          </w:pPr>
          <w:hyperlink w:anchor="_Toc189806984" w:history="1">
            <w:r w:rsidR="00966159" w:rsidRPr="005A2F73">
              <w:rPr>
                <w:rStyle w:val="Hyperlink"/>
                <w:noProof/>
              </w:rPr>
              <w:t>16.</w:t>
            </w:r>
            <w:r w:rsidR="00966159">
              <w:rPr>
                <w:rFonts w:asciiTheme="minorHAnsi" w:eastAsiaTheme="minorEastAsia" w:hAnsiTheme="minorHAnsi" w:cstheme="minorBidi"/>
                <w:noProof/>
                <w:kern w:val="2"/>
                <w:sz w:val="24"/>
                <w:szCs w:val="24"/>
                <w:lang w:val="en-US"/>
                <w14:ligatures w14:val="standardContextual"/>
              </w:rPr>
              <w:tab/>
            </w:r>
            <w:r w:rsidR="005C1880">
              <w:rPr>
                <w:rStyle w:val="Hyperlink"/>
                <w:noProof/>
              </w:rPr>
              <w:t>MODIFIKOVANA ( VARIJANTNA)</w:t>
            </w:r>
            <w:r w:rsidR="00966159" w:rsidRPr="005A2F73">
              <w:rPr>
                <w:rStyle w:val="Hyperlink"/>
                <w:noProof/>
              </w:rPr>
              <w:t xml:space="preserve"> RJEŠENJA</w:t>
            </w:r>
            <w:r w:rsidR="00966159">
              <w:rPr>
                <w:noProof/>
                <w:webHidden/>
              </w:rPr>
              <w:tab/>
            </w:r>
            <w:r w:rsidR="00966159">
              <w:rPr>
                <w:noProof/>
                <w:webHidden/>
              </w:rPr>
              <w:fldChar w:fldCharType="begin"/>
            </w:r>
            <w:r w:rsidR="00966159">
              <w:rPr>
                <w:noProof/>
                <w:webHidden/>
              </w:rPr>
              <w:instrText xml:space="preserve"> PAGEREF _Toc189806984 \h </w:instrText>
            </w:r>
            <w:r w:rsidR="00966159">
              <w:rPr>
                <w:noProof/>
                <w:webHidden/>
              </w:rPr>
            </w:r>
            <w:r w:rsidR="00966159">
              <w:rPr>
                <w:noProof/>
                <w:webHidden/>
              </w:rPr>
              <w:fldChar w:fldCharType="separate"/>
            </w:r>
            <w:r w:rsidR="00E97A2E">
              <w:rPr>
                <w:noProof/>
                <w:webHidden/>
              </w:rPr>
              <w:t>8</w:t>
            </w:r>
            <w:r w:rsidR="00966159">
              <w:rPr>
                <w:noProof/>
                <w:webHidden/>
              </w:rPr>
              <w:fldChar w:fldCharType="end"/>
            </w:r>
          </w:hyperlink>
        </w:p>
        <w:p w:rsidR="00966159" w:rsidRDefault="00AD3E7C">
          <w:pPr>
            <w:pStyle w:val="TOC1"/>
            <w:tabs>
              <w:tab w:val="right" w:leader="dot" w:pos="9301"/>
            </w:tabs>
            <w:rPr>
              <w:rFonts w:asciiTheme="minorHAnsi" w:eastAsiaTheme="minorEastAsia" w:hAnsiTheme="minorHAnsi" w:cstheme="minorBidi"/>
              <w:noProof/>
              <w:kern w:val="2"/>
              <w:sz w:val="24"/>
              <w:szCs w:val="24"/>
              <w:lang w:val="en-US"/>
              <w14:ligatures w14:val="standardContextual"/>
            </w:rPr>
          </w:pPr>
          <w:hyperlink w:anchor="_Toc189806985" w:history="1">
            <w:r w:rsidR="00966159" w:rsidRPr="005A2F73">
              <w:rPr>
                <w:rStyle w:val="Hyperlink"/>
                <w:noProof/>
              </w:rPr>
              <w:t>PODNOŠENJE PONUDA</w:t>
            </w:r>
            <w:r w:rsidR="00966159">
              <w:rPr>
                <w:noProof/>
                <w:webHidden/>
              </w:rPr>
              <w:tab/>
            </w:r>
            <w:r w:rsidR="00966159">
              <w:rPr>
                <w:noProof/>
                <w:webHidden/>
              </w:rPr>
              <w:fldChar w:fldCharType="begin"/>
            </w:r>
            <w:r w:rsidR="00966159">
              <w:rPr>
                <w:noProof/>
                <w:webHidden/>
              </w:rPr>
              <w:instrText xml:space="preserve"> PAGEREF _Toc189806985 \h </w:instrText>
            </w:r>
            <w:r w:rsidR="00966159">
              <w:rPr>
                <w:noProof/>
                <w:webHidden/>
              </w:rPr>
            </w:r>
            <w:r w:rsidR="00966159">
              <w:rPr>
                <w:noProof/>
                <w:webHidden/>
              </w:rPr>
              <w:fldChar w:fldCharType="separate"/>
            </w:r>
            <w:r w:rsidR="00E97A2E">
              <w:rPr>
                <w:noProof/>
                <w:webHidden/>
              </w:rPr>
              <w:t>8</w:t>
            </w:r>
            <w:r w:rsidR="00966159">
              <w:rPr>
                <w:noProof/>
                <w:webHidden/>
              </w:rPr>
              <w:fldChar w:fldCharType="end"/>
            </w:r>
          </w:hyperlink>
        </w:p>
        <w:p w:rsidR="00966159" w:rsidRDefault="00AD3E7C">
          <w:pPr>
            <w:pStyle w:val="TOC2"/>
            <w:tabs>
              <w:tab w:val="left" w:pos="880"/>
              <w:tab w:val="right" w:leader="dot" w:pos="9301"/>
            </w:tabs>
            <w:rPr>
              <w:rFonts w:asciiTheme="minorHAnsi" w:eastAsiaTheme="minorEastAsia" w:hAnsiTheme="minorHAnsi" w:cstheme="minorBidi"/>
              <w:noProof/>
              <w:kern w:val="2"/>
              <w:sz w:val="24"/>
              <w:szCs w:val="24"/>
              <w:lang w:val="en-US"/>
              <w14:ligatures w14:val="standardContextual"/>
            </w:rPr>
          </w:pPr>
          <w:hyperlink w:anchor="_Toc189806986" w:history="1">
            <w:r w:rsidR="00966159" w:rsidRPr="005A2F73">
              <w:rPr>
                <w:rStyle w:val="Hyperlink"/>
                <w:noProof/>
              </w:rPr>
              <w:t>17.</w:t>
            </w:r>
            <w:r w:rsidR="00966159">
              <w:rPr>
                <w:rFonts w:asciiTheme="minorHAnsi" w:eastAsiaTheme="minorEastAsia" w:hAnsiTheme="minorHAnsi" w:cstheme="minorBidi"/>
                <w:noProof/>
                <w:kern w:val="2"/>
                <w:sz w:val="24"/>
                <w:szCs w:val="24"/>
                <w:lang w:val="en-US"/>
                <w14:ligatures w14:val="standardContextual"/>
              </w:rPr>
              <w:tab/>
            </w:r>
            <w:r w:rsidR="00F44E65">
              <w:rPr>
                <w:rStyle w:val="Hyperlink"/>
                <w:noProof/>
              </w:rPr>
              <w:t>OBEZBJEĐIVANJE</w:t>
            </w:r>
            <w:r w:rsidR="00966159" w:rsidRPr="005A2F73">
              <w:rPr>
                <w:rStyle w:val="Hyperlink"/>
                <w:noProof/>
              </w:rPr>
              <w:t>, OZNAČAVANJE I PODNOŠENJE PONUDA</w:t>
            </w:r>
            <w:r w:rsidR="00966159">
              <w:rPr>
                <w:noProof/>
                <w:webHidden/>
              </w:rPr>
              <w:tab/>
            </w:r>
            <w:r w:rsidR="00966159">
              <w:rPr>
                <w:noProof/>
                <w:webHidden/>
              </w:rPr>
              <w:fldChar w:fldCharType="begin"/>
            </w:r>
            <w:r w:rsidR="00966159">
              <w:rPr>
                <w:noProof/>
                <w:webHidden/>
              </w:rPr>
              <w:instrText xml:space="preserve"> PAGEREF _Toc189806986 \h </w:instrText>
            </w:r>
            <w:r w:rsidR="00966159">
              <w:rPr>
                <w:noProof/>
                <w:webHidden/>
              </w:rPr>
            </w:r>
            <w:r w:rsidR="00966159">
              <w:rPr>
                <w:noProof/>
                <w:webHidden/>
              </w:rPr>
              <w:fldChar w:fldCharType="separate"/>
            </w:r>
            <w:r w:rsidR="00E97A2E">
              <w:rPr>
                <w:noProof/>
                <w:webHidden/>
              </w:rPr>
              <w:t>8</w:t>
            </w:r>
            <w:r w:rsidR="00966159">
              <w:rPr>
                <w:noProof/>
                <w:webHidden/>
              </w:rPr>
              <w:fldChar w:fldCharType="end"/>
            </w:r>
          </w:hyperlink>
        </w:p>
        <w:p w:rsidR="00966159" w:rsidRDefault="00AD3E7C">
          <w:pPr>
            <w:pStyle w:val="TOC2"/>
            <w:tabs>
              <w:tab w:val="left" w:pos="880"/>
              <w:tab w:val="right" w:leader="dot" w:pos="9301"/>
            </w:tabs>
            <w:rPr>
              <w:rFonts w:asciiTheme="minorHAnsi" w:eastAsiaTheme="minorEastAsia" w:hAnsiTheme="minorHAnsi" w:cstheme="minorBidi"/>
              <w:noProof/>
              <w:kern w:val="2"/>
              <w:sz w:val="24"/>
              <w:szCs w:val="24"/>
              <w:lang w:val="en-US"/>
              <w14:ligatures w14:val="standardContextual"/>
            </w:rPr>
          </w:pPr>
          <w:hyperlink w:anchor="_Toc189806987" w:history="1">
            <w:r w:rsidR="00966159" w:rsidRPr="005A2F73">
              <w:rPr>
                <w:rStyle w:val="Hyperlink"/>
                <w:noProof/>
              </w:rPr>
              <w:t>18.</w:t>
            </w:r>
            <w:r w:rsidR="00966159">
              <w:rPr>
                <w:rFonts w:asciiTheme="minorHAnsi" w:eastAsiaTheme="minorEastAsia" w:hAnsiTheme="minorHAnsi" w:cstheme="minorBidi"/>
                <w:noProof/>
                <w:kern w:val="2"/>
                <w:sz w:val="24"/>
                <w:szCs w:val="24"/>
                <w:lang w:val="en-US"/>
                <w14:ligatures w14:val="standardContextual"/>
              </w:rPr>
              <w:tab/>
            </w:r>
            <w:r w:rsidR="00966159" w:rsidRPr="005A2F73">
              <w:rPr>
                <w:rStyle w:val="Hyperlink"/>
                <w:noProof/>
              </w:rPr>
              <w:t>PRODUŽENJE ROKA ZA PODNOŠENJE PONUDA</w:t>
            </w:r>
            <w:r w:rsidR="00966159">
              <w:rPr>
                <w:noProof/>
                <w:webHidden/>
              </w:rPr>
              <w:tab/>
            </w:r>
            <w:r w:rsidR="00966159">
              <w:rPr>
                <w:noProof/>
                <w:webHidden/>
              </w:rPr>
              <w:fldChar w:fldCharType="begin"/>
            </w:r>
            <w:r w:rsidR="00966159">
              <w:rPr>
                <w:noProof/>
                <w:webHidden/>
              </w:rPr>
              <w:instrText xml:space="preserve"> PAGEREF _Toc189806987 \h </w:instrText>
            </w:r>
            <w:r w:rsidR="00966159">
              <w:rPr>
                <w:noProof/>
                <w:webHidden/>
              </w:rPr>
            </w:r>
            <w:r w:rsidR="00966159">
              <w:rPr>
                <w:noProof/>
                <w:webHidden/>
              </w:rPr>
              <w:fldChar w:fldCharType="separate"/>
            </w:r>
            <w:r w:rsidR="00E97A2E">
              <w:rPr>
                <w:noProof/>
                <w:webHidden/>
              </w:rPr>
              <w:t>9</w:t>
            </w:r>
            <w:r w:rsidR="00966159">
              <w:rPr>
                <w:noProof/>
                <w:webHidden/>
              </w:rPr>
              <w:fldChar w:fldCharType="end"/>
            </w:r>
          </w:hyperlink>
        </w:p>
        <w:p w:rsidR="00966159" w:rsidRDefault="00AD3E7C">
          <w:pPr>
            <w:pStyle w:val="TOC2"/>
            <w:tabs>
              <w:tab w:val="left" w:pos="880"/>
              <w:tab w:val="right" w:leader="dot" w:pos="9301"/>
            </w:tabs>
            <w:rPr>
              <w:rFonts w:asciiTheme="minorHAnsi" w:eastAsiaTheme="minorEastAsia" w:hAnsiTheme="minorHAnsi" w:cstheme="minorBidi"/>
              <w:noProof/>
              <w:kern w:val="2"/>
              <w:sz w:val="24"/>
              <w:szCs w:val="24"/>
              <w:lang w:val="en-US"/>
              <w14:ligatures w14:val="standardContextual"/>
            </w:rPr>
          </w:pPr>
          <w:hyperlink w:anchor="_Toc189806988" w:history="1">
            <w:r w:rsidR="00966159" w:rsidRPr="005A2F73">
              <w:rPr>
                <w:rStyle w:val="Hyperlink"/>
                <w:noProof/>
              </w:rPr>
              <w:t>19.</w:t>
            </w:r>
            <w:r w:rsidR="00966159">
              <w:rPr>
                <w:rFonts w:asciiTheme="minorHAnsi" w:eastAsiaTheme="minorEastAsia" w:hAnsiTheme="minorHAnsi" w:cstheme="minorBidi"/>
                <w:noProof/>
                <w:kern w:val="2"/>
                <w:sz w:val="24"/>
                <w:szCs w:val="24"/>
                <w:lang w:val="en-US"/>
                <w14:ligatures w14:val="standardContextual"/>
              </w:rPr>
              <w:tab/>
            </w:r>
            <w:r w:rsidR="00966159" w:rsidRPr="005A2F73">
              <w:rPr>
                <w:rStyle w:val="Hyperlink"/>
                <w:noProof/>
              </w:rPr>
              <w:t>KASNI TENDERI</w:t>
            </w:r>
            <w:r w:rsidR="00966159">
              <w:rPr>
                <w:noProof/>
                <w:webHidden/>
              </w:rPr>
              <w:tab/>
            </w:r>
            <w:r w:rsidR="00966159">
              <w:rPr>
                <w:noProof/>
                <w:webHidden/>
              </w:rPr>
              <w:fldChar w:fldCharType="begin"/>
            </w:r>
            <w:r w:rsidR="00966159">
              <w:rPr>
                <w:noProof/>
                <w:webHidden/>
              </w:rPr>
              <w:instrText xml:space="preserve"> PAGEREF _Toc189806988 \h </w:instrText>
            </w:r>
            <w:r w:rsidR="00966159">
              <w:rPr>
                <w:noProof/>
                <w:webHidden/>
              </w:rPr>
            </w:r>
            <w:r w:rsidR="00966159">
              <w:rPr>
                <w:noProof/>
                <w:webHidden/>
              </w:rPr>
              <w:fldChar w:fldCharType="separate"/>
            </w:r>
            <w:r w:rsidR="00E97A2E">
              <w:rPr>
                <w:noProof/>
                <w:webHidden/>
              </w:rPr>
              <w:t>9</w:t>
            </w:r>
            <w:r w:rsidR="00966159">
              <w:rPr>
                <w:noProof/>
                <w:webHidden/>
              </w:rPr>
              <w:fldChar w:fldCharType="end"/>
            </w:r>
          </w:hyperlink>
        </w:p>
        <w:p w:rsidR="00966159" w:rsidRDefault="00AD3E7C">
          <w:pPr>
            <w:pStyle w:val="TOC2"/>
            <w:tabs>
              <w:tab w:val="left" w:pos="880"/>
              <w:tab w:val="right" w:leader="dot" w:pos="9301"/>
            </w:tabs>
            <w:rPr>
              <w:rFonts w:asciiTheme="minorHAnsi" w:eastAsiaTheme="minorEastAsia" w:hAnsiTheme="minorHAnsi" w:cstheme="minorBidi"/>
              <w:noProof/>
              <w:kern w:val="2"/>
              <w:sz w:val="24"/>
              <w:szCs w:val="24"/>
              <w:lang w:val="en-US"/>
              <w14:ligatures w14:val="standardContextual"/>
            </w:rPr>
          </w:pPr>
          <w:hyperlink w:anchor="_Toc189806989" w:history="1">
            <w:r w:rsidR="00966159" w:rsidRPr="005A2F73">
              <w:rPr>
                <w:rStyle w:val="Hyperlink"/>
                <w:noProof/>
              </w:rPr>
              <w:t>20.</w:t>
            </w:r>
            <w:r w:rsidR="00966159">
              <w:rPr>
                <w:rFonts w:asciiTheme="minorHAnsi" w:eastAsiaTheme="minorEastAsia" w:hAnsiTheme="minorHAnsi" w:cstheme="minorBidi"/>
                <w:noProof/>
                <w:kern w:val="2"/>
                <w:sz w:val="24"/>
                <w:szCs w:val="24"/>
                <w:lang w:val="en-US"/>
                <w14:ligatures w14:val="standardContextual"/>
              </w:rPr>
              <w:tab/>
            </w:r>
            <w:r w:rsidR="00966159" w:rsidRPr="005A2F73">
              <w:rPr>
                <w:rStyle w:val="Hyperlink"/>
                <w:noProof/>
              </w:rPr>
              <w:t>IZMJENA I POVLAČENJE TENDERA</w:t>
            </w:r>
            <w:r w:rsidR="00966159">
              <w:rPr>
                <w:noProof/>
                <w:webHidden/>
              </w:rPr>
              <w:tab/>
            </w:r>
            <w:r w:rsidR="00966159">
              <w:rPr>
                <w:noProof/>
                <w:webHidden/>
              </w:rPr>
              <w:fldChar w:fldCharType="begin"/>
            </w:r>
            <w:r w:rsidR="00966159">
              <w:rPr>
                <w:noProof/>
                <w:webHidden/>
              </w:rPr>
              <w:instrText xml:space="preserve"> PAGEREF _Toc189806989 \h </w:instrText>
            </w:r>
            <w:r w:rsidR="00966159">
              <w:rPr>
                <w:noProof/>
                <w:webHidden/>
              </w:rPr>
            </w:r>
            <w:r w:rsidR="00966159">
              <w:rPr>
                <w:noProof/>
                <w:webHidden/>
              </w:rPr>
              <w:fldChar w:fldCharType="separate"/>
            </w:r>
            <w:r w:rsidR="00E97A2E">
              <w:rPr>
                <w:noProof/>
                <w:webHidden/>
              </w:rPr>
              <w:t>9</w:t>
            </w:r>
            <w:r w:rsidR="00966159">
              <w:rPr>
                <w:noProof/>
                <w:webHidden/>
              </w:rPr>
              <w:fldChar w:fldCharType="end"/>
            </w:r>
          </w:hyperlink>
        </w:p>
        <w:p w:rsidR="00966159" w:rsidRDefault="00AD3E7C">
          <w:pPr>
            <w:pStyle w:val="TOC1"/>
            <w:tabs>
              <w:tab w:val="right" w:leader="dot" w:pos="9301"/>
            </w:tabs>
            <w:rPr>
              <w:rFonts w:asciiTheme="minorHAnsi" w:eastAsiaTheme="minorEastAsia" w:hAnsiTheme="minorHAnsi" w:cstheme="minorBidi"/>
              <w:noProof/>
              <w:kern w:val="2"/>
              <w:sz w:val="24"/>
              <w:szCs w:val="24"/>
              <w:lang w:val="en-US"/>
              <w14:ligatures w14:val="standardContextual"/>
            </w:rPr>
          </w:pPr>
          <w:hyperlink w:anchor="_Toc189806990" w:history="1">
            <w:r w:rsidR="00966159" w:rsidRPr="005A2F73">
              <w:rPr>
                <w:rStyle w:val="Hyperlink"/>
                <w:noProof/>
              </w:rPr>
              <w:t>OTVARANJE I VREDNOVANJE TENDERA</w:t>
            </w:r>
            <w:r w:rsidR="00966159">
              <w:rPr>
                <w:noProof/>
                <w:webHidden/>
              </w:rPr>
              <w:tab/>
            </w:r>
            <w:r w:rsidR="00966159">
              <w:rPr>
                <w:noProof/>
                <w:webHidden/>
              </w:rPr>
              <w:fldChar w:fldCharType="begin"/>
            </w:r>
            <w:r w:rsidR="00966159">
              <w:rPr>
                <w:noProof/>
                <w:webHidden/>
              </w:rPr>
              <w:instrText xml:space="preserve"> PAGEREF _Toc189806990 \h </w:instrText>
            </w:r>
            <w:r w:rsidR="00966159">
              <w:rPr>
                <w:noProof/>
                <w:webHidden/>
              </w:rPr>
            </w:r>
            <w:r w:rsidR="00966159">
              <w:rPr>
                <w:noProof/>
                <w:webHidden/>
              </w:rPr>
              <w:fldChar w:fldCharType="separate"/>
            </w:r>
            <w:r w:rsidR="00E97A2E">
              <w:rPr>
                <w:noProof/>
                <w:webHidden/>
              </w:rPr>
              <w:t>9</w:t>
            </w:r>
            <w:r w:rsidR="00966159">
              <w:rPr>
                <w:noProof/>
                <w:webHidden/>
              </w:rPr>
              <w:fldChar w:fldCharType="end"/>
            </w:r>
          </w:hyperlink>
        </w:p>
        <w:p w:rsidR="00966159" w:rsidRDefault="00AD3E7C">
          <w:pPr>
            <w:pStyle w:val="TOC2"/>
            <w:tabs>
              <w:tab w:val="left" w:pos="880"/>
              <w:tab w:val="right" w:leader="dot" w:pos="9301"/>
            </w:tabs>
            <w:rPr>
              <w:rFonts w:asciiTheme="minorHAnsi" w:eastAsiaTheme="minorEastAsia" w:hAnsiTheme="minorHAnsi" w:cstheme="minorBidi"/>
              <w:noProof/>
              <w:kern w:val="2"/>
              <w:sz w:val="24"/>
              <w:szCs w:val="24"/>
              <w:lang w:val="en-US"/>
              <w14:ligatures w14:val="standardContextual"/>
            </w:rPr>
          </w:pPr>
          <w:hyperlink w:anchor="_Toc189806991" w:history="1">
            <w:r w:rsidR="00966159" w:rsidRPr="005A2F73">
              <w:rPr>
                <w:rStyle w:val="Hyperlink"/>
                <w:noProof/>
              </w:rPr>
              <w:t>21.</w:t>
            </w:r>
            <w:r w:rsidR="00966159">
              <w:rPr>
                <w:rFonts w:asciiTheme="minorHAnsi" w:eastAsiaTheme="minorEastAsia" w:hAnsiTheme="minorHAnsi" w:cstheme="minorBidi"/>
                <w:noProof/>
                <w:kern w:val="2"/>
                <w:sz w:val="24"/>
                <w:szCs w:val="24"/>
                <w:lang w:val="en-US"/>
                <w14:ligatures w14:val="standardContextual"/>
              </w:rPr>
              <w:tab/>
            </w:r>
            <w:r w:rsidR="00966159" w:rsidRPr="005A2F73">
              <w:rPr>
                <w:rStyle w:val="Hyperlink"/>
                <w:noProof/>
              </w:rPr>
              <w:t>OTVARANJE TENDERA</w:t>
            </w:r>
            <w:r w:rsidR="00966159">
              <w:rPr>
                <w:noProof/>
                <w:webHidden/>
              </w:rPr>
              <w:tab/>
            </w:r>
            <w:r w:rsidR="00966159">
              <w:rPr>
                <w:noProof/>
                <w:webHidden/>
              </w:rPr>
              <w:fldChar w:fldCharType="begin"/>
            </w:r>
            <w:r w:rsidR="00966159">
              <w:rPr>
                <w:noProof/>
                <w:webHidden/>
              </w:rPr>
              <w:instrText xml:space="preserve"> PAGEREF _Toc189806991 \h </w:instrText>
            </w:r>
            <w:r w:rsidR="00966159">
              <w:rPr>
                <w:noProof/>
                <w:webHidden/>
              </w:rPr>
            </w:r>
            <w:r w:rsidR="00966159">
              <w:rPr>
                <w:noProof/>
                <w:webHidden/>
              </w:rPr>
              <w:fldChar w:fldCharType="separate"/>
            </w:r>
            <w:r w:rsidR="00E97A2E">
              <w:rPr>
                <w:noProof/>
                <w:webHidden/>
              </w:rPr>
              <w:t>9</w:t>
            </w:r>
            <w:r w:rsidR="00966159">
              <w:rPr>
                <w:noProof/>
                <w:webHidden/>
              </w:rPr>
              <w:fldChar w:fldCharType="end"/>
            </w:r>
          </w:hyperlink>
        </w:p>
        <w:p w:rsidR="00966159" w:rsidRDefault="00AD3E7C">
          <w:pPr>
            <w:pStyle w:val="TOC2"/>
            <w:tabs>
              <w:tab w:val="left" w:pos="880"/>
              <w:tab w:val="right" w:leader="dot" w:pos="9301"/>
            </w:tabs>
            <w:rPr>
              <w:rFonts w:asciiTheme="minorHAnsi" w:eastAsiaTheme="minorEastAsia" w:hAnsiTheme="minorHAnsi" w:cstheme="minorBidi"/>
              <w:noProof/>
              <w:kern w:val="2"/>
              <w:sz w:val="24"/>
              <w:szCs w:val="24"/>
              <w:lang w:val="en-US"/>
              <w14:ligatures w14:val="standardContextual"/>
            </w:rPr>
          </w:pPr>
          <w:hyperlink w:anchor="_Toc189806992" w:history="1">
            <w:r w:rsidR="00966159" w:rsidRPr="005A2F73">
              <w:rPr>
                <w:rStyle w:val="Hyperlink"/>
                <w:noProof/>
              </w:rPr>
              <w:t>22.</w:t>
            </w:r>
            <w:r w:rsidR="00966159">
              <w:rPr>
                <w:rFonts w:asciiTheme="minorHAnsi" w:eastAsiaTheme="minorEastAsia" w:hAnsiTheme="minorHAnsi" w:cstheme="minorBidi"/>
                <w:noProof/>
                <w:kern w:val="2"/>
                <w:sz w:val="24"/>
                <w:szCs w:val="24"/>
                <w:lang w:val="en-US"/>
                <w14:ligatures w14:val="standardContextual"/>
              </w:rPr>
              <w:tab/>
            </w:r>
            <w:r w:rsidR="00966159" w:rsidRPr="005A2F73">
              <w:rPr>
                <w:rStyle w:val="Hyperlink"/>
                <w:noProof/>
              </w:rPr>
              <w:t>VREDNOVANJE TENDERA</w:t>
            </w:r>
            <w:r w:rsidR="00966159">
              <w:rPr>
                <w:noProof/>
                <w:webHidden/>
              </w:rPr>
              <w:tab/>
            </w:r>
            <w:r w:rsidR="00966159">
              <w:rPr>
                <w:noProof/>
                <w:webHidden/>
              </w:rPr>
              <w:fldChar w:fldCharType="begin"/>
            </w:r>
            <w:r w:rsidR="00966159">
              <w:rPr>
                <w:noProof/>
                <w:webHidden/>
              </w:rPr>
              <w:instrText xml:space="preserve"> PAGEREF _Toc189806992 \h </w:instrText>
            </w:r>
            <w:r w:rsidR="00966159">
              <w:rPr>
                <w:noProof/>
                <w:webHidden/>
              </w:rPr>
            </w:r>
            <w:r w:rsidR="00966159">
              <w:rPr>
                <w:noProof/>
                <w:webHidden/>
              </w:rPr>
              <w:fldChar w:fldCharType="separate"/>
            </w:r>
            <w:r w:rsidR="00E97A2E">
              <w:rPr>
                <w:noProof/>
                <w:webHidden/>
              </w:rPr>
              <w:t>10</w:t>
            </w:r>
            <w:r w:rsidR="00966159">
              <w:rPr>
                <w:noProof/>
                <w:webHidden/>
              </w:rPr>
              <w:fldChar w:fldCharType="end"/>
            </w:r>
          </w:hyperlink>
        </w:p>
        <w:p w:rsidR="00966159" w:rsidRDefault="00AD3E7C">
          <w:pPr>
            <w:pStyle w:val="TOC2"/>
            <w:tabs>
              <w:tab w:val="left" w:pos="880"/>
              <w:tab w:val="right" w:leader="dot" w:pos="9301"/>
            </w:tabs>
            <w:rPr>
              <w:rFonts w:asciiTheme="minorHAnsi" w:eastAsiaTheme="minorEastAsia" w:hAnsiTheme="minorHAnsi" w:cstheme="minorBidi"/>
              <w:noProof/>
              <w:kern w:val="2"/>
              <w:sz w:val="24"/>
              <w:szCs w:val="24"/>
              <w:lang w:val="en-US"/>
              <w14:ligatures w14:val="standardContextual"/>
            </w:rPr>
          </w:pPr>
          <w:hyperlink w:anchor="_Toc189806993" w:history="1">
            <w:r w:rsidR="00966159" w:rsidRPr="005A2F73">
              <w:rPr>
                <w:rStyle w:val="Hyperlink"/>
                <w:noProof/>
              </w:rPr>
              <w:t>23.</w:t>
            </w:r>
            <w:r w:rsidR="00966159">
              <w:rPr>
                <w:rFonts w:asciiTheme="minorHAnsi" w:eastAsiaTheme="minorEastAsia" w:hAnsiTheme="minorHAnsi" w:cstheme="minorBidi"/>
                <w:noProof/>
                <w:kern w:val="2"/>
                <w:sz w:val="24"/>
                <w:szCs w:val="24"/>
                <w:lang w:val="en-US"/>
                <w14:ligatures w14:val="standardContextual"/>
              </w:rPr>
              <w:tab/>
            </w:r>
            <w:r w:rsidR="00966159" w:rsidRPr="005A2F73">
              <w:rPr>
                <w:rStyle w:val="Hyperlink"/>
                <w:noProof/>
              </w:rPr>
              <w:t>ISPRAVLJANJE GREŠKA</w:t>
            </w:r>
            <w:r w:rsidR="00966159">
              <w:rPr>
                <w:noProof/>
                <w:webHidden/>
              </w:rPr>
              <w:tab/>
            </w:r>
            <w:r w:rsidR="00966159">
              <w:rPr>
                <w:noProof/>
                <w:webHidden/>
              </w:rPr>
              <w:fldChar w:fldCharType="begin"/>
            </w:r>
            <w:r w:rsidR="00966159">
              <w:rPr>
                <w:noProof/>
                <w:webHidden/>
              </w:rPr>
              <w:instrText xml:space="preserve"> PAGEREF _Toc189806993 \h </w:instrText>
            </w:r>
            <w:r w:rsidR="00966159">
              <w:rPr>
                <w:noProof/>
                <w:webHidden/>
              </w:rPr>
            </w:r>
            <w:r w:rsidR="00966159">
              <w:rPr>
                <w:noProof/>
                <w:webHidden/>
              </w:rPr>
              <w:fldChar w:fldCharType="separate"/>
            </w:r>
            <w:r w:rsidR="00E97A2E">
              <w:rPr>
                <w:noProof/>
                <w:webHidden/>
              </w:rPr>
              <w:t>11</w:t>
            </w:r>
            <w:r w:rsidR="00966159">
              <w:rPr>
                <w:noProof/>
                <w:webHidden/>
              </w:rPr>
              <w:fldChar w:fldCharType="end"/>
            </w:r>
          </w:hyperlink>
        </w:p>
        <w:p w:rsidR="00966159" w:rsidRDefault="00AD3E7C">
          <w:pPr>
            <w:pStyle w:val="TOC1"/>
            <w:tabs>
              <w:tab w:val="right" w:leader="dot" w:pos="9301"/>
            </w:tabs>
            <w:rPr>
              <w:rFonts w:asciiTheme="minorHAnsi" w:eastAsiaTheme="minorEastAsia" w:hAnsiTheme="minorHAnsi" w:cstheme="minorBidi"/>
              <w:noProof/>
              <w:kern w:val="2"/>
              <w:sz w:val="24"/>
              <w:szCs w:val="24"/>
              <w:lang w:val="en-US"/>
              <w14:ligatures w14:val="standardContextual"/>
            </w:rPr>
          </w:pPr>
          <w:hyperlink w:anchor="_Toc189806994" w:history="1">
            <w:r w:rsidR="00966159" w:rsidRPr="005A2F73">
              <w:rPr>
                <w:rStyle w:val="Hyperlink"/>
                <w:noProof/>
              </w:rPr>
              <w:t>DODJELA UGOVORA</w:t>
            </w:r>
            <w:r w:rsidR="00966159">
              <w:rPr>
                <w:noProof/>
                <w:webHidden/>
              </w:rPr>
              <w:tab/>
            </w:r>
            <w:r w:rsidR="00966159">
              <w:rPr>
                <w:noProof/>
                <w:webHidden/>
              </w:rPr>
              <w:fldChar w:fldCharType="begin"/>
            </w:r>
            <w:r w:rsidR="00966159">
              <w:rPr>
                <w:noProof/>
                <w:webHidden/>
              </w:rPr>
              <w:instrText xml:space="preserve"> PAGEREF _Toc189806994 \h </w:instrText>
            </w:r>
            <w:r w:rsidR="00966159">
              <w:rPr>
                <w:noProof/>
                <w:webHidden/>
              </w:rPr>
            </w:r>
            <w:r w:rsidR="00966159">
              <w:rPr>
                <w:noProof/>
                <w:webHidden/>
              </w:rPr>
              <w:fldChar w:fldCharType="separate"/>
            </w:r>
            <w:r w:rsidR="00E97A2E">
              <w:rPr>
                <w:noProof/>
                <w:webHidden/>
              </w:rPr>
              <w:t>11</w:t>
            </w:r>
            <w:r w:rsidR="00966159">
              <w:rPr>
                <w:noProof/>
                <w:webHidden/>
              </w:rPr>
              <w:fldChar w:fldCharType="end"/>
            </w:r>
          </w:hyperlink>
        </w:p>
        <w:p w:rsidR="00966159" w:rsidRDefault="00AD3E7C">
          <w:pPr>
            <w:pStyle w:val="TOC2"/>
            <w:tabs>
              <w:tab w:val="left" w:pos="880"/>
              <w:tab w:val="right" w:leader="dot" w:pos="9301"/>
            </w:tabs>
            <w:rPr>
              <w:rFonts w:asciiTheme="minorHAnsi" w:eastAsiaTheme="minorEastAsia" w:hAnsiTheme="minorHAnsi" w:cstheme="minorBidi"/>
              <w:noProof/>
              <w:kern w:val="2"/>
              <w:sz w:val="24"/>
              <w:szCs w:val="24"/>
              <w:lang w:val="en-US"/>
              <w14:ligatures w14:val="standardContextual"/>
            </w:rPr>
          </w:pPr>
          <w:hyperlink w:anchor="_Toc189806995" w:history="1">
            <w:r w:rsidR="00966159" w:rsidRPr="005A2F73">
              <w:rPr>
                <w:rStyle w:val="Hyperlink"/>
                <w:noProof/>
              </w:rPr>
              <w:t>24.</w:t>
            </w:r>
            <w:r w:rsidR="00966159">
              <w:rPr>
                <w:rFonts w:asciiTheme="minorHAnsi" w:eastAsiaTheme="minorEastAsia" w:hAnsiTheme="minorHAnsi" w:cstheme="minorBidi"/>
                <w:noProof/>
                <w:kern w:val="2"/>
                <w:sz w:val="24"/>
                <w:szCs w:val="24"/>
                <w:lang w:val="en-US"/>
                <w14:ligatures w14:val="standardContextual"/>
              </w:rPr>
              <w:tab/>
            </w:r>
            <w:r w:rsidR="00966159" w:rsidRPr="005A2F73">
              <w:rPr>
                <w:rStyle w:val="Hyperlink"/>
                <w:noProof/>
              </w:rPr>
              <w:t>KRITERIJI ZA DODJELU</w:t>
            </w:r>
            <w:r w:rsidR="00966159">
              <w:rPr>
                <w:noProof/>
                <w:webHidden/>
              </w:rPr>
              <w:tab/>
            </w:r>
            <w:r w:rsidR="00966159">
              <w:rPr>
                <w:noProof/>
                <w:webHidden/>
              </w:rPr>
              <w:fldChar w:fldCharType="begin"/>
            </w:r>
            <w:r w:rsidR="00966159">
              <w:rPr>
                <w:noProof/>
                <w:webHidden/>
              </w:rPr>
              <w:instrText xml:space="preserve"> PAGEREF _Toc189806995 \h </w:instrText>
            </w:r>
            <w:r w:rsidR="00966159">
              <w:rPr>
                <w:noProof/>
                <w:webHidden/>
              </w:rPr>
            </w:r>
            <w:r w:rsidR="00966159">
              <w:rPr>
                <w:noProof/>
                <w:webHidden/>
              </w:rPr>
              <w:fldChar w:fldCharType="separate"/>
            </w:r>
            <w:r w:rsidR="00E97A2E">
              <w:rPr>
                <w:noProof/>
                <w:webHidden/>
              </w:rPr>
              <w:t>11</w:t>
            </w:r>
            <w:r w:rsidR="00966159">
              <w:rPr>
                <w:noProof/>
                <w:webHidden/>
              </w:rPr>
              <w:fldChar w:fldCharType="end"/>
            </w:r>
          </w:hyperlink>
        </w:p>
        <w:p w:rsidR="00966159" w:rsidRDefault="00AD3E7C">
          <w:pPr>
            <w:pStyle w:val="TOC2"/>
            <w:tabs>
              <w:tab w:val="left" w:pos="880"/>
              <w:tab w:val="right" w:leader="dot" w:pos="9301"/>
            </w:tabs>
            <w:rPr>
              <w:rFonts w:asciiTheme="minorHAnsi" w:eastAsiaTheme="minorEastAsia" w:hAnsiTheme="minorHAnsi" w:cstheme="minorBidi"/>
              <w:noProof/>
              <w:kern w:val="2"/>
              <w:sz w:val="24"/>
              <w:szCs w:val="24"/>
              <w:lang w:val="en-US"/>
              <w14:ligatures w14:val="standardContextual"/>
            </w:rPr>
          </w:pPr>
          <w:hyperlink w:anchor="_Toc189806996" w:history="1">
            <w:r w:rsidR="00966159" w:rsidRPr="005A2F73">
              <w:rPr>
                <w:rStyle w:val="Hyperlink"/>
                <w:noProof/>
              </w:rPr>
              <w:t>25.</w:t>
            </w:r>
            <w:r w:rsidR="00966159">
              <w:rPr>
                <w:rFonts w:asciiTheme="minorHAnsi" w:eastAsiaTheme="minorEastAsia" w:hAnsiTheme="minorHAnsi" w:cstheme="minorBidi"/>
                <w:noProof/>
                <w:kern w:val="2"/>
                <w:sz w:val="24"/>
                <w:szCs w:val="24"/>
                <w:lang w:val="en-US"/>
                <w14:ligatures w14:val="standardContextual"/>
              </w:rPr>
              <w:tab/>
            </w:r>
            <w:r w:rsidR="00966159" w:rsidRPr="005A2F73">
              <w:rPr>
                <w:rStyle w:val="Hyperlink"/>
                <w:noProof/>
              </w:rPr>
              <w:t>Obavijest o dodjeli, pojašnjenja ugovora</w:t>
            </w:r>
            <w:r w:rsidR="00966159">
              <w:rPr>
                <w:noProof/>
                <w:webHidden/>
              </w:rPr>
              <w:tab/>
            </w:r>
            <w:r w:rsidR="00966159">
              <w:rPr>
                <w:noProof/>
                <w:webHidden/>
              </w:rPr>
              <w:fldChar w:fldCharType="begin"/>
            </w:r>
            <w:r w:rsidR="00966159">
              <w:rPr>
                <w:noProof/>
                <w:webHidden/>
              </w:rPr>
              <w:instrText xml:space="preserve"> PAGEREF _Toc189806996 \h </w:instrText>
            </w:r>
            <w:r w:rsidR="00966159">
              <w:rPr>
                <w:noProof/>
                <w:webHidden/>
              </w:rPr>
            </w:r>
            <w:r w:rsidR="00966159">
              <w:rPr>
                <w:noProof/>
                <w:webHidden/>
              </w:rPr>
              <w:fldChar w:fldCharType="separate"/>
            </w:r>
            <w:r w:rsidR="00E97A2E">
              <w:rPr>
                <w:noProof/>
                <w:webHidden/>
              </w:rPr>
              <w:t>11</w:t>
            </w:r>
            <w:r w:rsidR="00966159">
              <w:rPr>
                <w:noProof/>
                <w:webHidden/>
              </w:rPr>
              <w:fldChar w:fldCharType="end"/>
            </w:r>
          </w:hyperlink>
        </w:p>
        <w:p w:rsidR="00966159" w:rsidRDefault="00AD3E7C">
          <w:pPr>
            <w:pStyle w:val="TOC2"/>
            <w:tabs>
              <w:tab w:val="left" w:pos="880"/>
              <w:tab w:val="right" w:leader="dot" w:pos="9301"/>
            </w:tabs>
            <w:rPr>
              <w:rFonts w:asciiTheme="minorHAnsi" w:eastAsiaTheme="minorEastAsia" w:hAnsiTheme="minorHAnsi" w:cstheme="minorBidi"/>
              <w:noProof/>
              <w:kern w:val="2"/>
              <w:sz w:val="24"/>
              <w:szCs w:val="24"/>
              <w:lang w:val="en-US"/>
              <w14:ligatures w14:val="standardContextual"/>
            </w:rPr>
          </w:pPr>
          <w:hyperlink w:anchor="_Toc189806997" w:history="1">
            <w:r w:rsidR="00966159" w:rsidRPr="005A2F73">
              <w:rPr>
                <w:rStyle w:val="Hyperlink"/>
                <w:noProof/>
              </w:rPr>
              <w:t>26.</w:t>
            </w:r>
            <w:r w:rsidR="00966159">
              <w:rPr>
                <w:rFonts w:asciiTheme="minorHAnsi" w:eastAsiaTheme="minorEastAsia" w:hAnsiTheme="minorHAnsi" w:cstheme="minorBidi"/>
                <w:noProof/>
                <w:kern w:val="2"/>
                <w:sz w:val="24"/>
                <w:szCs w:val="24"/>
                <w:lang w:val="en-US"/>
                <w14:ligatures w14:val="standardContextual"/>
              </w:rPr>
              <w:tab/>
            </w:r>
            <w:r w:rsidR="00966159" w:rsidRPr="005A2F73">
              <w:rPr>
                <w:rStyle w:val="Hyperlink"/>
                <w:noProof/>
              </w:rPr>
              <w:t>POTPISIVANJE UGOVORA I GARANCIJA IZVRŠENJA</w:t>
            </w:r>
            <w:r w:rsidR="00966159">
              <w:rPr>
                <w:noProof/>
                <w:webHidden/>
              </w:rPr>
              <w:tab/>
            </w:r>
            <w:r w:rsidR="00966159">
              <w:rPr>
                <w:noProof/>
                <w:webHidden/>
              </w:rPr>
              <w:fldChar w:fldCharType="begin"/>
            </w:r>
            <w:r w:rsidR="00966159">
              <w:rPr>
                <w:noProof/>
                <w:webHidden/>
              </w:rPr>
              <w:instrText xml:space="preserve"> PAGEREF _Toc189806997 \h </w:instrText>
            </w:r>
            <w:r w:rsidR="00966159">
              <w:rPr>
                <w:noProof/>
                <w:webHidden/>
              </w:rPr>
            </w:r>
            <w:r w:rsidR="00966159">
              <w:rPr>
                <w:noProof/>
                <w:webHidden/>
              </w:rPr>
              <w:fldChar w:fldCharType="separate"/>
            </w:r>
            <w:r w:rsidR="00E97A2E">
              <w:rPr>
                <w:noProof/>
                <w:webHidden/>
              </w:rPr>
              <w:t>12</w:t>
            </w:r>
            <w:r w:rsidR="00966159">
              <w:rPr>
                <w:noProof/>
                <w:webHidden/>
              </w:rPr>
              <w:fldChar w:fldCharType="end"/>
            </w:r>
          </w:hyperlink>
        </w:p>
        <w:p w:rsidR="00966159" w:rsidRDefault="00AD3E7C">
          <w:pPr>
            <w:pStyle w:val="TOC2"/>
            <w:tabs>
              <w:tab w:val="left" w:pos="880"/>
              <w:tab w:val="right" w:leader="dot" w:pos="9301"/>
            </w:tabs>
            <w:rPr>
              <w:rFonts w:asciiTheme="minorHAnsi" w:eastAsiaTheme="minorEastAsia" w:hAnsiTheme="minorHAnsi" w:cstheme="minorBidi"/>
              <w:noProof/>
              <w:kern w:val="2"/>
              <w:sz w:val="24"/>
              <w:szCs w:val="24"/>
              <w:lang w:val="en-US"/>
              <w14:ligatures w14:val="standardContextual"/>
            </w:rPr>
          </w:pPr>
          <w:hyperlink w:anchor="_Toc189806998" w:history="1">
            <w:r w:rsidR="00966159" w:rsidRPr="005A2F73">
              <w:rPr>
                <w:rStyle w:val="Hyperlink"/>
                <w:noProof/>
              </w:rPr>
              <w:t>27.</w:t>
            </w:r>
            <w:r w:rsidR="00966159">
              <w:rPr>
                <w:rFonts w:asciiTheme="minorHAnsi" w:eastAsiaTheme="minorEastAsia" w:hAnsiTheme="minorHAnsi" w:cstheme="minorBidi"/>
                <w:noProof/>
                <w:kern w:val="2"/>
                <w:sz w:val="24"/>
                <w:szCs w:val="24"/>
                <w:lang w:val="en-US"/>
                <w14:ligatures w14:val="standardContextual"/>
              </w:rPr>
              <w:tab/>
            </w:r>
            <w:r w:rsidR="00966159" w:rsidRPr="005A2F73">
              <w:rPr>
                <w:rStyle w:val="Hyperlink"/>
                <w:noProof/>
              </w:rPr>
              <w:t>PONIŠTENJE TENDERSKOG POSTUPKA</w:t>
            </w:r>
            <w:r w:rsidR="00966159">
              <w:rPr>
                <w:noProof/>
                <w:webHidden/>
              </w:rPr>
              <w:tab/>
            </w:r>
            <w:r w:rsidR="00966159">
              <w:rPr>
                <w:noProof/>
                <w:webHidden/>
              </w:rPr>
              <w:fldChar w:fldCharType="begin"/>
            </w:r>
            <w:r w:rsidR="00966159">
              <w:rPr>
                <w:noProof/>
                <w:webHidden/>
              </w:rPr>
              <w:instrText xml:space="preserve"> PAGEREF _Toc189806998 \h </w:instrText>
            </w:r>
            <w:r w:rsidR="00966159">
              <w:rPr>
                <w:noProof/>
                <w:webHidden/>
              </w:rPr>
            </w:r>
            <w:r w:rsidR="00966159">
              <w:rPr>
                <w:noProof/>
                <w:webHidden/>
              </w:rPr>
              <w:fldChar w:fldCharType="separate"/>
            </w:r>
            <w:r w:rsidR="00E97A2E">
              <w:rPr>
                <w:noProof/>
                <w:webHidden/>
              </w:rPr>
              <w:t>12</w:t>
            </w:r>
            <w:r w:rsidR="00966159">
              <w:rPr>
                <w:noProof/>
                <w:webHidden/>
              </w:rPr>
              <w:fldChar w:fldCharType="end"/>
            </w:r>
          </w:hyperlink>
        </w:p>
        <w:p w:rsidR="00966159" w:rsidRDefault="00AD3E7C">
          <w:pPr>
            <w:pStyle w:val="TOC2"/>
            <w:tabs>
              <w:tab w:val="left" w:pos="880"/>
              <w:tab w:val="right" w:leader="dot" w:pos="9301"/>
            </w:tabs>
            <w:rPr>
              <w:rFonts w:asciiTheme="minorHAnsi" w:eastAsiaTheme="minorEastAsia" w:hAnsiTheme="minorHAnsi" w:cstheme="minorBidi"/>
              <w:noProof/>
              <w:kern w:val="2"/>
              <w:sz w:val="24"/>
              <w:szCs w:val="24"/>
              <w:lang w:val="en-US"/>
              <w14:ligatures w14:val="standardContextual"/>
            </w:rPr>
          </w:pPr>
          <w:hyperlink w:anchor="_Toc189806999" w:history="1">
            <w:r w:rsidR="00966159" w:rsidRPr="005A2F73">
              <w:rPr>
                <w:rStyle w:val="Hyperlink"/>
                <w:noProof/>
              </w:rPr>
              <w:t>28.</w:t>
            </w:r>
            <w:r w:rsidR="00966159">
              <w:rPr>
                <w:rFonts w:asciiTheme="minorHAnsi" w:eastAsiaTheme="minorEastAsia" w:hAnsiTheme="minorHAnsi" w:cstheme="minorBidi"/>
                <w:noProof/>
                <w:kern w:val="2"/>
                <w:sz w:val="24"/>
                <w:szCs w:val="24"/>
                <w:lang w:val="en-US"/>
                <w14:ligatures w14:val="standardContextual"/>
              </w:rPr>
              <w:tab/>
            </w:r>
            <w:r w:rsidR="00F44E65">
              <w:rPr>
                <w:rStyle w:val="Hyperlink"/>
                <w:noProof/>
              </w:rPr>
              <w:t>ETIČKE KLAU</w:t>
            </w:r>
            <w:r w:rsidR="00966159" w:rsidRPr="005A2F73">
              <w:rPr>
                <w:rStyle w:val="Hyperlink"/>
                <w:noProof/>
              </w:rPr>
              <w:t>ZUL</w:t>
            </w:r>
            <w:r w:rsidR="00F44E65">
              <w:rPr>
                <w:rStyle w:val="Hyperlink"/>
                <w:noProof/>
              </w:rPr>
              <w:t>E</w:t>
            </w:r>
            <w:r w:rsidR="00966159" w:rsidRPr="005A2F73">
              <w:rPr>
                <w:rStyle w:val="Hyperlink"/>
                <w:noProof/>
              </w:rPr>
              <w:t xml:space="preserve"> I KODEKS PONAŠANJA</w:t>
            </w:r>
            <w:r w:rsidR="00966159">
              <w:rPr>
                <w:noProof/>
                <w:webHidden/>
              </w:rPr>
              <w:tab/>
            </w:r>
            <w:r w:rsidR="00966159">
              <w:rPr>
                <w:noProof/>
                <w:webHidden/>
              </w:rPr>
              <w:fldChar w:fldCharType="begin"/>
            </w:r>
            <w:r w:rsidR="00966159">
              <w:rPr>
                <w:noProof/>
                <w:webHidden/>
              </w:rPr>
              <w:instrText xml:space="preserve"> PAGEREF _Toc189806999 \h </w:instrText>
            </w:r>
            <w:r w:rsidR="00966159">
              <w:rPr>
                <w:noProof/>
                <w:webHidden/>
              </w:rPr>
            </w:r>
            <w:r w:rsidR="00966159">
              <w:rPr>
                <w:noProof/>
                <w:webHidden/>
              </w:rPr>
              <w:fldChar w:fldCharType="separate"/>
            </w:r>
            <w:r w:rsidR="00E97A2E">
              <w:rPr>
                <w:noProof/>
                <w:webHidden/>
              </w:rPr>
              <w:t>12</w:t>
            </w:r>
            <w:r w:rsidR="00966159">
              <w:rPr>
                <w:noProof/>
                <w:webHidden/>
              </w:rPr>
              <w:fldChar w:fldCharType="end"/>
            </w:r>
          </w:hyperlink>
        </w:p>
        <w:p w:rsidR="00966159" w:rsidRDefault="00AD3E7C">
          <w:pPr>
            <w:pStyle w:val="TOC2"/>
            <w:tabs>
              <w:tab w:val="left" w:pos="880"/>
              <w:tab w:val="right" w:leader="dot" w:pos="9301"/>
            </w:tabs>
            <w:rPr>
              <w:rFonts w:asciiTheme="minorHAnsi" w:eastAsiaTheme="minorEastAsia" w:hAnsiTheme="minorHAnsi" w:cstheme="minorBidi"/>
              <w:noProof/>
              <w:kern w:val="2"/>
              <w:sz w:val="24"/>
              <w:szCs w:val="24"/>
              <w:lang w:val="en-US"/>
              <w14:ligatures w14:val="standardContextual"/>
            </w:rPr>
          </w:pPr>
          <w:hyperlink w:anchor="_Toc189807000" w:history="1">
            <w:r w:rsidR="00966159" w:rsidRPr="005A2F73">
              <w:rPr>
                <w:rStyle w:val="Hyperlink"/>
                <w:noProof/>
              </w:rPr>
              <w:t>29.</w:t>
            </w:r>
            <w:r w:rsidR="00966159">
              <w:rPr>
                <w:rFonts w:asciiTheme="minorHAnsi" w:eastAsiaTheme="minorEastAsia" w:hAnsiTheme="minorHAnsi" w:cstheme="minorBidi"/>
                <w:noProof/>
                <w:kern w:val="2"/>
                <w:sz w:val="24"/>
                <w:szCs w:val="24"/>
                <w:lang w:val="en-US"/>
                <w14:ligatures w14:val="standardContextual"/>
              </w:rPr>
              <w:tab/>
            </w:r>
            <w:r w:rsidR="00966159" w:rsidRPr="005A2F73">
              <w:rPr>
                <w:rStyle w:val="Hyperlink"/>
                <w:noProof/>
              </w:rPr>
              <w:t>ŽALBE</w:t>
            </w:r>
            <w:r w:rsidR="00966159">
              <w:rPr>
                <w:noProof/>
                <w:webHidden/>
              </w:rPr>
              <w:tab/>
            </w:r>
            <w:r w:rsidR="00966159">
              <w:rPr>
                <w:noProof/>
                <w:webHidden/>
              </w:rPr>
              <w:fldChar w:fldCharType="begin"/>
            </w:r>
            <w:r w:rsidR="00966159">
              <w:rPr>
                <w:noProof/>
                <w:webHidden/>
              </w:rPr>
              <w:instrText xml:space="preserve"> PAGEREF _Toc189807000 \h </w:instrText>
            </w:r>
            <w:r w:rsidR="00966159">
              <w:rPr>
                <w:noProof/>
                <w:webHidden/>
              </w:rPr>
            </w:r>
            <w:r w:rsidR="00966159">
              <w:rPr>
                <w:noProof/>
                <w:webHidden/>
              </w:rPr>
              <w:fldChar w:fldCharType="separate"/>
            </w:r>
            <w:r w:rsidR="00E97A2E">
              <w:rPr>
                <w:noProof/>
                <w:webHidden/>
              </w:rPr>
              <w:t>13</w:t>
            </w:r>
            <w:r w:rsidR="00966159">
              <w:rPr>
                <w:noProof/>
                <w:webHidden/>
              </w:rPr>
              <w:fldChar w:fldCharType="end"/>
            </w:r>
          </w:hyperlink>
        </w:p>
        <w:p w:rsidR="00C20E30" w:rsidRDefault="00C20E30">
          <w:r>
            <w:fldChar w:fldCharType="end"/>
          </w:r>
        </w:p>
      </w:sdtContent>
    </w:sdt>
    <w:p w:rsidR="00B644E3" w:rsidRDefault="00A25C94">
      <w:pPr>
        <w:widowControl w:val="0"/>
        <w:pBdr>
          <w:top w:val="nil"/>
          <w:left w:val="nil"/>
          <w:bottom w:val="nil"/>
          <w:right w:val="nil"/>
          <w:between w:val="nil"/>
        </w:pBdr>
        <w:spacing w:after="0" w:line="276" w:lineRule="auto"/>
        <w:ind w:left="0"/>
        <w:jc w:val="left"/>
        <w:sectPr w:rsidR="00B644E3">
          <w:footerReference w:type="even" r:id="rId9"/>
          <w:footerReference w:type="default" r:id="rId10"/>
          <w:headerReference w:type="first" r:id="rId11"/>
          <w:footerReference w:type="first" r:id="rId12"/>
          <w:pgSz w:w="11907" w:h="16840"/>
          <w:pgMar w:top="1298" w:right="1298" w:bottom="1077" w:left="1298" w:header="720" w:footer="720" w:gutter="0"/>
          <w:pgNumType w:start="1"/>
          <w:cols w:space="720"/>
          <w:titlePg/>
        </w:sectPr>
      </w:pPr>
      <w:r>
        <w:br w:type="page"/>
      </w:r>
    </w:p>
    <w:p w:rsidR="00B644E3" w:rsidRDefault="00F44E65">
      <w:pPr>
        <w:pStyle w:val="Heading1"/>
        <w:rPr>
          <w:rFonts w:ascii="Times New Roman" w:eastAsia="Times New Roman" w:hAnsi="Times New Roman" w:cs="Times New Roman"/>
        </w:rPr>
      </w:pPr>
      <w:bookmarkStart w:id="3" w:name="_Toc189806966"/>
      <w:r>
        <w:rPr>
          <w:rFonts w:ascii="Times New Roman" w:eastAsia="Times New Roman" w:hAnsi="Times New Roman" w:cs="Times New Roman"/>
        </w:rPr>
        <w:lastRenderedPageBreak/>
        <w:t>OPŠT</w:t>
      </w:r>
      <w:r w:rsidR="00A25C94">
        <w:rPr>
          <w:rFonts w:ascii="Times New Roman" w:eastAsia="Times New Roman" w:hAnsi="Times New Roman" w:cs="Times New Roman"/>
        </w:rPr>
        <w:t>I DIO</w:t>
      </w:r>
      <w:bookmarkEnd w:id="3"/>
    </w:p>
    <w:p w:rsidR="00B644E3" w:rsidRDefault="00F44E65">
      <w:pPr>
        <w:pStyle w:val="Heading2"/>
        <w:numPr>
          <w:ilvl w:val="0"/>
          <w:numId w:val="13"/>
        </w:numPr>
      </w:pPr>
      <w:bookmarkStart w:id="4" w:name="_Toc189806967"/>
      <w:r>
        <w:t>OPŠTA</w:t>
      </w:r>
      <w:r w:rsidR="00A25C94">
        <w:t xml:space="preserve"> UPUTSTVA</w:t>
      </w:r>
      <w:bookmarkEnd w:id="4"/>
    </w:p>
    <w:p w:rsidR="00B644E3" w:rsidRDefault="00A25C94">
      <w:pPr>
        <w:pStyle w:val="Heading3"/>
        <w:numPr>
          <w:ilvl w:val="1"/>
          <w:numId w:val="13"/>
        </w:numPr>
      </w:pPr>
      <w:r>
        <w:t>Ponuđači moraju ponuditi sve radove koji se traže u dosijeu. Ponude neće biti</w:t>
      </w:r>
      <w:r w:rsidR="00F44E65">
        <w:t xml:space="preserve"> prihvaćene za nepotpune Ponude (lotove)</w:t>
      </w:r>
      <w:r>
        <w:t>.</w:t>
      </w:r>
    </w:p>
    <w:p w:rsidR="00B644E3" w:rsidRDefault="00F44E65">
      <w:pPr>
        <w:pStyle w:val="Heading3"/>
        <w:numPr>
          <w:ilvl w:val="1"/>
          <w:numId w:val="13"/>
        </w:numPr>
      </w:pPr>
      <w:r>
        <w:t>Vremenski okvir</w:t>
      </w:r>
    </w:p>
    <w:tbl>
      <w:tblPr>
        <w:tblStyle w:val="a"/>
        <w:tblW w:w="8222"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9"/>
        <w:gridCol w:w="2410"/>
        <w:gridCol w:w="1843"/>
      </w:tblGrid>
      <w:tr w:rsidR="00B644E3">
        <w:tc>
          <w:tcPr>
            <w:tcW w:w="3969" w:type="dxa"/>
            <w:tcBorders>
              <w:bottom w:val="nil"/>
            </w:tcBorders>
            <w:shd w:val="clear" w:color="auto" w:fill="auto"/>
          </w:tcPr>
          <w:p w:rsidR="00B644E3" w:rsidRDefault="00B644E3">
            <w:pPr>
              <w:ind w:left="34"/>
              <w:jc w:val="left"/>
            </w:pPr>
          </w:p>
        </w:tc>
        <w:tc>
          <w:tcPr>
            <w:tcW w:w="2410" w:type="dxa"/>
            <w:shd w:val="clear" w:color="auto" w:fill="E6E6E6"/>
          </w:tcPr>
          <w:p w:rsidR="00B644E3" w:rsidRDefault="00A25C94">
            <w:pPr>
              <w:ind w:left="34"/>
              <w:jc w:val="center"/>
              <w:rPr>
                <w:sz w:val="18"/>
                <w:szCs w:val="18"/>
              </w:rPr>
            </w:pPr>
            <w:r>
              <w:rPr>
                <w:b/>
                <w:sz w:val="18"/>
                <w:szCs w:val="18"/>
              </w:rPr>
              <w:t>DATUM</w:t>
            </w:r>
          </w:p>
        </w:tc>
        <w:tc>
          <w:tcPr>
            <w:tcW w:w="1843" w:type="dxa"/>
            <w:tcBorders>
              <w:bottom w:val="nil"/>
            </w:tcBorders>
            <w:shd w:val="clear" w:color="auto" w:fill="E6E6E6"/>
          </w:tcPr>
          <w:p w:rsidR="00B644E3" w:rsidRDefault="00A25C94">
            <w:pPr>
              <w:ind w:left="34"/>
              <w:jc w:val="center"/>
              <w:rPr>
                <w:sz w:val="18"/>
                <w:szCs w:val="18"/>
              </w:rPr>
            </w:pPr>
            <w:r>
              <w:rPr>
                <w:b/>
                <w:sz w:val="18"/>
                <w:szCs w:val="18"/>
              </w:rPr>
              <w:t>VRIJEME*</w:t>
            </w:r>
          </w:p>
        </w:tc>
      </w:tr>
      <w:tr w:rsidR="00B644E3">
        <w:tc>
          <w:tcPr>
            <w:tcW w:w="3969" w:type="dxa"/>
            <w:shd w:val="clear" w:color="auto" w:fill="E6E6E6"/>
          </w:tcPr>
          <w:p w:rsidR="00B644E3" w:rsidRDefault="00A25C94">
            <w:pPr>
              <w:spacing w:before="60" w:after="60"/>
              <w:ind w:left="34"/>
              <w:jc w:val="left"/>
            </w:pPr>
            <w:r>
              <w:rPr>
                <w:b/>
              </w:rPr>
              <w:t>Sastanak za pojašnjenje</w:t>
            </w:r>
          </w:p>
        </w:tc>
        <w:tc>
          <w:tcPr>
            <w:tcW w:w="2410" w:type="dxa"/>
          </w:tcPr>
          <w:p w:rsidR="00B644E3" w:rsidRDefault="00172221" w:rsidP="00172221">
            <w:pPr>
              <w:spacing w:before="60" w:after="60"/>
              <w:ind w:left="34"/>
              <w:jc w:val="center"/>
            </w:pPr>
            <w:r>
              <w:t>N/A</w:t>
            </w:r>
          </w:p>
        </w:tc>
        <w:tc>
          <w:tcPr>
            <w:tcW w:w="1843" w:type="dxa"/>
          </w:tcPr>
          <w:p w:rsidR="00B644E3" w:rsidRDefault="00172221">
            <w:pPr>
              <w:spacing w:before="60" w:after="60"/>
              <w:ind w:left="34"/>
              <w:jc w:val="center"/>
            </w:pPr>
            <w:r>
              <w:t>N/A</w:t>
            </w:r>
          </w:p>
        </w:tc>
      </w:tr>
      <w:tr w:rsidR="00B644E3">
        <w:tc>
          <w:tcPr>
            <w:tcW w:w="3969" w:type="dxa"/>
            <w:shd w:val="clear" w:color="auto" w:fill="E6E6E6"/>
          </w:tcPr>
          <w:p w:rsidR="00B644E3" w:rsidRDefault="00A25C94">
            <w:pPr>
              <w:spacing w:before="60" w:after="60"/>
              <w:ind w:left="34"/>
              <w:jc w:val="left"/>
            </w:pPr>
            <w:r>
              <w:rPr>
                <w:b/>
              </w:rPr>
              <w:t>Poseta sajtu</w:t>
            </w:r>
          </w:p>
        </w:tc>
        <w:tc>
          <w:tcPr>
            <w:tcW w:w="2410" w:type="dxa"/>
          </w:tcPr>
          <w:p w:rsidR="00B644E3" w:rsidRDefault="00172221">
            <w:pPr>
              <w:spacing w:before="60" w:after="60"/>
              <w:ind w:left="34"/>
              <w:jc w:val="left"/>
            </w:pPr>
            <w:r>
              <w:t>Na zahtjev</w:t>
            </w:r>
          </w:p>
        </w:tc>
        <w:tc>
          <w:tcPr>
            <w:tcW w:w="1843" w:type="dxa"/>
          </w:tcPr>
          <w:p w:rsidR="00B644E3" w:rsidRDefault="00F44E65">
            <w:pPr>
              <w:spacing w:before="60" w:after="60"/>
              <w:ind w:left="34"/>
              <w:jc w:val="center"/>
            </w:pPr>
            <w:r>
              <w:t>Biće definisano</w:t>
            </w:r>
          </w:p>
        </w:tc>
      </w:tr>
      <w:tr w:rsidR="00B644E3">
        <w:tc>
          <w:tcPr>
            <w:tcW w:w="3969" w:type="dxa"/>
            <w:shd w:val="clear" w:color="auto" w:fill="E6E6E6"/>
          </w:tcPr>
          <w:p w:rsidR="00B644E3" w:rsidRDefault="00A25C94">
            <w:pPr>
              <w:spacing w:before="60" w:after="60"/>
              <w:ind w:left="34"/>
              <w:jc w:val="left"/>
            </w:pPr>
            <w:r>
              <w:rPr>
                <w:b/>
              </w:rPr>
              <w:t>Rok za traženje dodatnih in</w:t>
            </w:r>
            <w:r w:rsidR="00F44E65">
              <w:rPr>
                <w:b/>
              </w:rPr>
              <w:t>formacija od Ugovornog Organa</w:t>
            </w:r>
          </w:p>
        </w:tc>
        <w:tc>
          <w:tcPr>
            <w:tcW w:w="2410" w:type="dxa"/>
          </w:tcPr>
          <w:p w:rsidR="00B644E3" w:rsidRPr="000052F3" w:rsidRDefault="00690E26" w:rsidP="000052F3">
            <w:pPr>
              <w:spacing w:before="60" w:after="60"/>
              <w:ind w:left="34"/>
              <w:jc w:val="left"/>
            </w:pPr>
            <w:r w:rsidRPr="000052F3">
              <w:t>2</w:t>
            </w:r>
            <w:r w:rsidR="000052F3" w:rsidRPr="000052F3">
              <w:t>5</w:t>
            </w:r>
            <w:r w:rsidRPr="000052F3">
              <w:t>.0</w:t>
            </w:r>
            <w:r w:rsidR="000052F3" w:rsidRPr="000052F3">
              <w:t>4</w:t>
            </w:r>
            <w:r w:rsidRPr="000052F3">
              <w:t>.2025</w:t>
            </w:r>
          </w:p>
        </w:tc>
        <w:tc>
          <w:tcPr>
            <w:tcW w:w="1843" w:type="dxa"/>
          </w:tcPr>
          <w:p w:rsidR="00B644E3" w:rsidRPr="000052F3" w:rsidRDefault="00683F1C">
            <w:pPr>
              <w:spacing w:before="60" w:after="60"/>
              <w:ind w:left="34"/>
              <w:jc w:val="center"/>
            </w:pPr>
            <w:r w:rsidRPr="000052F3">
              <w:t>15:00</w:t>
            </w:r>
          </w:p>
        </w:tc>
      </w:tr>
      <w:tr w:rsidR="00B644E3">
        <w:tc>
          <w:tcPr>
            <w:tcW w:w="3969" w:type="dxa"/>
            <w:shd w:val="clear" w:color="auto" w:fill="E6E6E6"/>
          </w:tcPr>
          <w:p w:rsidR="00B644E3" w:rsidRDefault="00A25C94">
            <w:pPr>
              <w:spacing w:before="60" w:after="60"/>
              <w:ind w:left="34"/>
              <w:jc w:val="left"/>
            </w:pPr>
            <w:r>
              <w:rPr>
                <w:b/>
              </w:rPr>
              <w:t xml:space="preserve">Posljednji </w:t>
            </w:r>
            <w:r w:rsidR="00F44E65">
              <w:rPr>
                <w:b/>
              </w:rPr>
              <w:t>datum na koji ugovorni organ</w:t>
            </w:r>
            <w:r>
              <w:rPr>
                <w:b/>
              </w:rPr>
              <w:t xml:space="preserve"> daje dodatne informacije</w:t>
            </w:r>
          </w:p>
        </w:tc>
        <w:tc>
          <w:tcPr>
            <w:tcW w:w="2410" w:type="dxa"/>
          </w:tcPr>
          <w:p w:rsidR="00B644E3" w:rsidRPr="000052F3" w:rsidRDefault="000052F3" w:rsidP="000052F3">
            <w:pPr>
              <w:spacing w:before="60" w:after="60"/>
              <w:ind w:left="34"/>
              <w:jc w:val="left"/>
            </w:pPr>
            <w:r w:rsidRPr="000052F3">
              <w:t>30.04</w:t>
            </w:r>
            <w:r w:rsidR="00683F1C" w:rsidRPr="000052F3">
              <w:t>.2025</w:t>
            </w:r>
          </w:p>
        </w:tc>
        <w:tc>
          <w:tcPr>
            <w:tcW w:w="1843" w:type="dxa"/>
          </w:tcPr>
          <w:p w:rsidR="00B644E3" w:rsidRPr="000052F3" w:rsidRDefault="00683F1C">
            <w:pPr>
              <w:spacing w:before="60" w:after="60"/>
              <w:ind w:left="34"/>
              <w:jc w:val="center"/>
            </w:pPr>
            <w:r w:rsidRPr="000052F3">
              <w:t>15:00</w:t>
            </w:r>
          </w:p>
        </w:tc>
      </w:tr>
      <w:tr w:rsidR="00B644E3">
        <w:tc>
          <w:tcPr>
            <w:tcW w:w="3969" w:type="dxa"/>
            <w:shd w:val="clear" w:color="auto" w:fill="E6E6E6"/>
          </w:tcPr>
          <w:p w:rsidR="00B644E3" w:rsidRDefault="00A25C94">
            <w:pPr>
              <w:spacing w:before="60" w:after="60"/>
              <w:ind w:left="34"/>
              <w:jc w:val="left"/>
            </w:pPr>
            <w:r>
              <w:rPr>
                <w:b/>
              </w:rPr>
              <w:t>Rok za podnošenje ponuda</w:t>
            </w:r>
          </w:p>
        </w:tc>
        <w:tc>
          <w:tcPr>
            <w:tcW w:w="2410" w:type="dxa"/>
          </w:tcPr>
          <w:p w:rsidR="00B644E3" w:rsidRPr="00172221" w:rsidRDefault="000052F3" w:rsidP="00716853">
            <w:pPr>
              <w:spacing w:before="60" w:after="60"/>
              <w:ind w:left="34"/>
              <w:jc w:val="center"/>
              <w:rPr>
                <w:b/>
              </w:rPr>
            </w:pPr>
            <w:r>
              <w:rPr>
                <w:b/>
              </w:rPr>
              <w:t>1</w:t>
            </w:r>
            <w:r w:rsidR="00716853">
              <w:rPr>
                <w:b/>
              </w:rPr>
              <w:t>6</w:t>
            </w:r>
            <w:r>
              <w:rPr>
                <w:b/>
              </w:rPr>
              <w:t>.05</w:t>
            </w:r>
            <w:r w:rsidR="00683F1C">
              <w:rPr>
                <w:b/>
              </w:rPr>
              <w:t>.2025</w:t>
            </w:r>
          </w:p>
        </w:tc>
        <w:tc>
          <w:tcPr>
            <w:tcW w:w="1843" w:type="dxa"/>
          </w:tcPr>
          <w:p w:rsidR="00B644E3" w:rsidRPr="00172221" w:rsidRDefault="00172221">
            <w:pPr>
              <w:spacing w:before="60" w:after="60"/>
              <w:ind w:left="34"/>
              <w:jc w:val="center"/>
              <w:rPr>
                <w:b/>
              </w:rPr>
            </w:pPr>
            <w:r w:rsidRPr="00172221">
              <w:rPr>
                <w:b/>
              </w:rPr>
              <w:t>13:00h</w:t>
            </w:r>
          </w:p>
        </w:tc>
      </w:tr>
      <w:tr w:rsidR="00B644E3">
        <w:tc>
          <w:tcPr>
            <w:tcW w:w="3969" w:type="dxa"/>
            <w:shd w:val="clear" w:color="auto" w:fill="E6E6E6"/>
          </w:tcPr>
          <w:p w:rsidR="00B644E3" w:rsidRDefault="00A25C94">
            <w:pPr>
              <w:spacing w:before="60" w:after="60"/>
              <w:ind w:left="34"/>
              <w:jc w:val="left"/>
            </w:pPr>
            <w:r>
              <w:rPr>
                <w:b/>
              </w:rPr>
              <w:t>Otvaranje tendera</w:t>
            </w:r>
          </w:p>
        </w:tc>
        <w:tc>
          <w:tcPr>
            <w:tcW w:w="2410" w:type="dxa"/>
          </w:tcPr>
          <w:p w:rsidR="00B644E3" w:rsidRPr="00172221" w:rsidRDefault="00D221F2" w:rsidP="00716853">
            <w:pPr>
              <w:spacing w:before="60" w:after="60"/>
              <w:ind w:left="34"/>
              <w:jc w:val="center"/>
              <w:rPr>
                <w:b/>
              </w:rPr>
            </w:pPr>
            <w:r>
              <w:rPr>
                <w:b/>
              </w:rPr>
              <w:t>16.0</w:t>
            </w:r>
            <w:r w:rsidR="00716853">
              <w:rPr>
                <w:b/>
              </w:rPr>
              <w:t>5</w:t>
            </w:r>
            <w:r w:rsidR="00172221" w:rsidRPr="00172221">
              <w:rPr>
                <w:b/>
              </w:rPr>
              <w:t>.2025</w:t>
            </w:r>
          </w:p>
        </w:tc>
        <w:tc>
          <w:tcPr>
            <w:tcW w:w="1843" w:type="dxa"/>
          </w:tcPr>
          <w:p w:rsidR="00B644E3" w:rsidRPr="00172221" w:rsidRDefault="00716853" w:rsidP="00172221">
            <w:pPr>
              <w:spacing w:before="60" w:after="60"/>
              <w:ind w:left="34"/>
              <w:jc w:val="center"/>
              <w:rPr>
                <w:b/>
              </w:rPr>
            </w:pPr>
            <w:r>
              <w:rPr>
                <w:b/>
              </w:rPr>
              <w:t>15</w:t>
            </w:r>
            <w:r w:rsidR="00172221" w:rsidRPr="00172221">
              <w:rPr>
                <w:b/>
              </w:rPr>
              <w:t>:00h</w:t>
            </w:r>
          </w:p>
        </w:tc>
      </w:tr>
      <w:tr w:rsidR="00B644E3">
        <w:tc>
          <w:tcPr>
            <w:tcW w:w="3969" w:type="dxa"/>
            <w:shd w:val="clear" w:color="auto" w:fill="E6E6E6"/>
          </w:tcPr>
          <w:p w:rsidR="00B644E3" w:rsidRDefault="00A25C94">
            <w:pPr>
              <w:spacing w:before="60" w:after="60"/>
              <w:ind w:left="34"/>
              <w:jc w:val="left"/>
            </w:pPr>
            <w:r>
              <w:rPr>
                <w:b/>
              </w:rPr>
              <w:t>Obavještenje o dodjeli ugovora uspješnom ponuđaču</w:t>
            </w:r>
          </w:p>
        </w:tc>
        <w:tc>
          <w:tcPr>
            <w:tcW w:w="2410" w:type="dxa"/>
          </w:tcPr>
          <w:p w:rsidR="00B644E3" w:rsidRDefault="00172221" w:rsidP="000052F3">
            <w:pPr>
              <w:spacing w:before="60" w:after="60"/>
              <w:ind w:left="34"/>
              <w:jc w:val="left"/>
            </w:pPr>
            <w:r>
              <w:t>1</w:t>
            </w:r>
            <w:r w:rsidR="00716853">
              <w:t>9.05</w:t>
            </w:r>
            <w:r>
              <w:t>.2025</w:t>
            </w:r>
          </w:p>
        </w:tc>
        <w:tc>
          <w:tcPr>
            <w:tcW w:w="1843" w:type="dxa"/>
          </w:tcPr>
          <w:p w:rsidR="00B644E3" w:rsidRDefault="00A25C94">
            <w:pPr>
              <w:spacing w:before="60" w:after="60"/>
              <w:ind w:left="34"/>
              <w:jc w:val="center"/>
            </w:pPr>
            <w:r>
              <w:t>-</w:t>
            </w:r>
          </w:p>
        </w:tc>
      </w:tr>
      <w:tr w:rsidR="00B644E3">
        <w:tc>
          <w:tcPr>
            <w:tcW w:w="3969" w:type="dxa"/>
            <w:shd w:val="clear" w:color="auto" w:fill="E6E6E6"/>
          </w:tcPr>
          <w:p w:rsidR="00B644E3" w:rsidRDefault="00A25C94">
            <w:pPr>
              <w:spacing w:before="60" w:after="60"/>
              <w:ind w:left="34"/>
              <w:jc w:val="left"/>
            </w:pPr>
            <w:r>
              <w:rPr>
                <w:b/>
              </w:rPr>
              <w:t>Potpis ugovora</w:t>
            </w:r>
          </w:p>
        </w:tc>
        <w:tc>
          <w:tcPr>
            <w:tcW w:w="2410" w:type="dxa"/>
          </w:tcPr>
          <w:p w:rsidR="00B644E3" w:rsidRDefault="00716853">
            <w:pPr>
              <w:spacing w:before="60" w:after="60"/>
              <w:ind w:left="34"/>
              <w:jc w:val="left"/>
            </w:pPr>
            <w:r>
              <w:t>20.05</w:t>
            </w:r>
            <w:r w:rsidR="00172221">
              <w:t>.2025</w:t>
            </w:r>
          </w:p>
        </w:tc>
        <w:tc>
          <w:tcPr>
            <w:tcW w:w="1843" w:type="dxa"/>
          </w:tcPr>
          <w:p w:rsidR="00B644E3" w:rsidRDefault="00A25C94">
            <w:pPr>
              <w:spacing w:before="60" w:after="60"/>
              <w:ind w:left="34"/>
              <w:jc w:val="center"/>
            </w:pPr>
            <w:r>
              <w:t>-</w:t>
            </w:r>
          </w:p>
        </w:tc>
      </w:tr>
    </w:tbl>
    <w:p w:rsidR="00B644E3" w:rsidRDefault="00A25C94">
      <w:pPr>
        <w:ind w:left="1276"/>
      </w:pPr>
      <w:bookmarkStart w:id="5" w:name="_2et92p0" w:colFirst="0" w:colLast="0"/>
      <w:bookmarkEnd w:id="5"/>
      <w:r>
        <w:rPr>
          <w:sz w:val="16"/>
          <w:szCs w:val="16"/>
        </w:rPr>
        <w:br/>
      </w:r>
    </w:p>
    <w:p w:rsidR="00B644E3" w:rsidRDefault="00A25C94">
      <w:pPr>
        <w:pStyle w:val="Heading2"/>
        <w:numPr>
          <w:ilvl w:val="0"/>
          <w:numId w:val="13"/>
        </w:numPr>
      </w:pPr>
      <w:bookmarkStart w:id="6" w:name="_Toc189806968"/>
      <w:r>
        <w:t>FINANSIRANJE</w:t>
      </w:r>
      <w:bookmarkEnd w:id="6"/>
    </w:p>
    <w:p w:rsidR="00F2212D" w:rsidRDefault="00F2212D" w:rsidP="00F2212D">
      <w:pPr>
        <w:ind w:left="0"/>
      </w:pPr>
      <w:r>
        <w:t xml:space="preserve">Uredba (EU) 2021/1059 Evropskog parlamenta i Vijeća od 24. </w:t>
      </w:r>
      <w:r w:rsidR="005C1880">
        <w:t>Juna</w:t>
      </w:r>
      <w:r>
        <w:t xml:space="preserve"> 2021. o posebnim odredbama za cilj evropske teritorijalne saradnje (Interreg) podržan od strane Evropskog fonda za regionalni razvoj i instrumenata vanjskog finansiranja (Interreg Uredba),</w:t>
      </w:r>
    </w:p>
    <w:p w:rsidR="00F2212D" w:rsidRDefault="007D3A0E" w:rsidP="00F2212D">
      <w:pPr>
        <w:ind w:left="0"/>
      </w:pPr>
      <w:r w:rsidRPr="007D3A0E">
        <w:t>Uredba (EU, Euratom) 2024/2509 Evropskog parlamenta i Vijeća od 23. septembra 2024. o finansijskim prav</w:t>
      </w:r>
      <w:r w:rsidR="000052F3">
        <w:t>ilima koja se primjenjuju na opšt</w:t>
      </w:r>
      <w:r w:rsidRPr="007D3A0E">
        <w:t>i budžet Unije (preinačena),</w:t>
      </w:r>
    </w:p>
    <w:p w:rsidR="00B644E3" w:rsidRDefault="00F2212D" w:rsidP="00F2212D">
      <w:pPr>
        <w:ind w:left="0"/>
      </w:pPr>
      <w:r>
        <w:t>Interreg VI-A IPA program Hrvatska – Bosna i Hercegovina – Crna Gora.</w:t>
      </w:r>
    </w:p>
    <w:p w:rsidR="00B644E3" w:rsidRDefault="00A25C94" w:rsidP="00EA33E5">
      <w:pPr>
        <w:pStyle w:val="Heading2"/>
        <w:numPr>
          <w:ilvl w:val="0"/>
          <w:numId w:val="13"/>
        </w:numPr>
      </w:pPr>
      <w:bookmarkStart w:id="7" w:name="_Toc189806969"/>
      <w:r>
        <w:t>UČEŠĆE</w:t>
      </w:r>
      <w:bookmarkStart w:id="8" w:name="_1t3h5sf" w:colFirst="0" w:colLast="0"/>
      <w:bookmarkEnd w:id="7"/>
      <w:bookmarkEnd w:id="8"/>
    </w:p>
    <w:p w:rsidR="00B644E3" w:rsidRDefault="00A25C94" w:rsidP="00066EB5">
      <w:pPr>
        <w:pStyle w:val="Heading3"/>
        <w:numPr>
          <w:ilvl w:val="1"/>
          <w:numId w:val="13"/>
        </w:numPr>
        <w:ind w:right="1"/>
      </w:pPr>
      <w:r>
        <w:t>Učešće je otvoreno za sva pravna lica koja su efektivno osnovana u zemljama učesnicama, drugim državama članicama, drugim korisnicima IPA III, ugovornim stranama Sporazuma o Evropskom ekonomskom prostoru i partnerskim zemljama obuhvaćenim Evropskim susedskim instrumentom (u daljem tekstu 'prihvatljive zemlje'), kao i međunarodnim organizacijama.</w:t>
      </w:r>
    </w:p>
    <w:p w:rsidR="00B644E3" w:rsidRDefault="00A25C94">
      <w:pPr>
        <w:pStyle w:val="Heading3"/>
        <w:numPr>
          <w:ilvl w:val="1"/>
          <w:numId w:val="13"/>
        </w:numPr>
      </w:pPr>
      <w:r>
        <w:t>Uslov podobnosti naveden u podtački 3.1 odnosi se na sve članove zajedničkog preduzeća/konzorcijuma i sve podizvođače, kao i na sve subjekte na čije se kapacitete ponuđač oslanja za kriterijume za izbor. Svaki ponuđač, član zajedničkog preduzeća/konzorcijuma, svaki subjekt koji obezbjeđuje kapacitete, svaki podizvođač koji obezbjeđuje više od 10% radova i svaki dobavljač koji obezbjeđuje više od 10% radova mora potvrditi da ispunjava ove uslove. Ako je potrebno, moraju dokazati svoju podobnost dokumentom datiranom manje od godinu dana ranije od roka za podnošenje ponuda, sa</w:t>
      </w:r>
      <w:r w:rsidR="00F13165">
        <w:t>stavljeni</w:t>
      </w:r>
      <w:r w:rsidR="005C1880">
        <w:t>m u skladu sa  zakonodavstvom Republike Srpske i</w:t>
      </w:r>
      <w:r w:rsidR="00F13165">
        <w:t xml:space="preserve"> BiH</w:t>
      </w:r>
      <w:r>
        <w:t xml:space="preserve"> ili praksom ili kopijama originalnih dokumenata u kojima se navodi ustav i/ili pravni status i mjesto registracije i/ili statutarno sjedište i, ako je drugačije, mjesto cent</w:t>
      </w:r>
      <w:r w:rsidR="00F13165">
        <w:t>ralne uprave. Ugovorni organ</w:t>
      </w:r>
      <w:r>
        <w:t xml:space="preserve"> može prihvatiti druge zadovoljavajuće dokaze da su ovi uslovi ispunjeni.</w:t>
      </w:r>
    </w:p>
    <w:p w:rsidR="00B644E3" w:rsidRDefault="00F13165">
      <w:pPr>
        <w:pStyle w:val="Heading3"/>
        <w:numPr>
          <w:ilvl w:val="1"/>
          <w:numId w:val="13"/>
        </w:numPr>
      </w:pPr>
      <w:r>
        <w:lastRenderedPageBreak/>
        <w:t>U slučajevima navedenim u D</w:t>
      </w:r>
      <w:r w:rsidR="00A25C94">
        <w:t>eklaraciji</w:t>
      </w:r>
      <w:r>
        <w:t xml:space="preserve"> o časti</w:t>
      </w:r>
      <w:r w:rsidR="00A25C94">
        <w:t xml:space="preserve"> o kriterijumima za isključenje i kriterijumima odabira ponuđači mogu biti isključeni iz postupka.</w:t>
      </w:r>
    </w:p>
    <w:p w:rsidR="00B644E3" w:rsidRDefault="00A25C94">
      <w:pPr>
        <w:pStyle w:val="Heading3"/>
        <w:numPr>
          <w:ilvl w:val="1"/>
          <w:numId w:val="13"/>
        </w:numPr>
      </w:pPr>
      <w:r>
        <w:t>Situacija isključenja iz podtačke 3.4 odnosi se na sve članove zajedničkog preduzeća/konzorcijuma, sve podizvođače i sve dobavljače ponuđača, kao i na sve subjekte na čije se kapacitete ponuđač oslanja za kriterijume odabira.</w:t>
      </w:r>
    </w:p>
    <w:p w:rsidR="00B644E3" w:rsidRDefault="00A25C94">
      <w:pPr>
        <w:pStyle w:val="Heading3"/>
        <w:numPr>
          <w:ilvl w:val="1"/>
          <w:numId w:val="13"/>
        </w:numPr>
      </w:pPr>
      <w:r>
        <w:t>Gornja granica dozvoljena za podugovaranje je 30 % vrijednosti ponude</w:t>
      </w:r>
      <w:r>
        <w:rPr>
          <w:vertAlign w:val="superscript"/>
        </w:rPr>
        <w:footnoteReference w:id="1"/>
      </w:r>
      <w:r>
        <w:t>.</w:t>
      </w:r>
    </w:p>
    <w:p w:rsidR="00B644E3" w:rsidRDefault="00A25C94">
      <w:pPr>
        <w:pStyle w:val="Heading2"/>
        <w:numPr>
          <w:ilvl w:val="0"/>
          <w:numId w:val="13"/>
        </w:numPr>
      </w:pPr>
      <w:bookmarkStart w:id="9" w:name="_Toc189806970"/>
      <w:r>
        <w:t>SAMO JEDAN TENDER PO PONUĐAČU</w:t>
      </w:r>
      <w:bookmarkEnd w:id="9"/>
    </w:p>
    <w:p w:rsidR="00B644E3" w:rsidRDefault="00A25C94">
      <w:r>
        <w:t>Kompanija ne može davati ponudu za dati ugovor ni pojedinačno ni kao član zajedničkog preduzeća/konzorcijuma. Učešće ponuđača u više od jedne ponude za ugovor će rezultirati diskvalifikacijom svih onih ponuda za taj ugovor u kojima je strana uključena. Ista kompanija može učestvovati kao podizvođač na različitim tenderima samo ako je to opravdano specifičnom prirodom tržišta i odobreno od strane Ugovornog autoriteta.</w:t>
      </w:r>
    </w:p>
    <w:p w:rsidR="00B644E3" w:rsidRDefault="00A25C94">
      <w:pPr>
        <w:pStyle w:val="Heading2"/>
        <w:numPr>
          <w:ilvl w:val="0"/>
          <w:numId w:val="13"/>
        </w:numPr>
      </w:pPr>
      <w:bookmarkStart w:id="10" w:name="_Toc189806971"/>
      <w:r>
        <w:t>TROŠKOVI TENDERA</w:t>
      </w:r>
      <w:bookmarkEnd w:id="10"/>
    </w:p>
    <w:p w:rsidR="00B644E3" w:rsidRDefault="00A25C94">
      <w:pPr>
        <w:pStyle w:val="Heading3"/>
        <w:numPr>
          <w:ilvl w:val="1"/>
          <w:numId w:val="13"/>
        </w:numPr>
      </w:pPr>
      <w:r>
        <w:t>Ponuđač će snositi sve troškove vezane za pripremu i podnošenje ponude. Ugovarač neće biti odgovoran ili odgovoran za takve troškove, bez obzira na vođenje ili ishod postupka.</w:t>
      </w:r>
    </w:p>
    <w:p w:rsidR="00B644E3" w:rsidRDefault="00A25C94">
      <w:pPr>
        <w:pStyle w:val="Heading3"/>
        <w:numPr>
          <w:ilvl w:val="1"/>
          <w:numId w:val="13"/>
        </w:numPr>
      </w:pPr>
      <w:r>
        <w:t>Ugovorn</w:t>
      </w:r>
      <w:r w:rsidR="00A4413A">
        <w:t>i organ</w:t>
      </w:r>
      <w:r>
        <w:t xml:space="preserve"> neće biti odgovoran niti pokrivati ​​bilo kakve troškove ili</w:t>
      </w:r>
      <w:r w:rsidR="00A4413A">
        <w:t xml:space="preserve"> gubitke koje je ponuđač pretrpi</w:t>
      </w:r>
      <w:r>
        <w:t>o obilaskom i inspekcijama ili bilo kojim drugim aspektom njegove ponude.</w:t>
      </w:r>
    </w:p>
    <w:p w:rsidR="00B644E3" w:rsidRDefault="00A25C94">
      <w:pPr>
        <w:pStyle w:val="Heading2"/>
        <w:numPr>
          <w:ilvl w:val="0"/>
          <w:numId w:val="13"/>
        </w:numPr>
      </w:pPr>
      <w:bookmarkStart w:id="11" w:name="_Toc189806972"/>
      <w:r>
        <w:t>POSJETA LOKACIJI I SASTANAK ZA RAZJAŠNJENJE</w:t>
      </w:r>
      <w:bookmarkEnd w:id="11"/>
    </w:p>
    <w:p w:rsidR="00B644E3" w:rsidRDefault="000D4939">
      <w:pPr>
        <w:pStyle w:val="Heading3"/>
        <w:numPr>
          <w:ilvl w:val="1"/>
          <w:numId w:val="13"/>
        </w:numPr>
        <w:spacing w:before="120"/>
      </w:pPr>
      <w:r>
        <w:t>Ponuđaču se preporučuje da posjeti i pregleda mjesto izvođenja radova i okolinu radi procjene, na sopstvenu odgovornost, trošak i rizik, faktore neophodne za pripremu ponude i potpisivanje ugovora o izvođenju radova. (Datum, vrijeme i mjesto, vidi tačku 13 obavijesti o ugovoru.)</w:t>
      </w:r>
    </w:p>
    <w:p w:rsidR="00E97A2E" w:rsidRDefault="00E97A2E">
      <w:pPr>
        <w:pStyle w:val="Heading1"/>
        <w:rPr>
          <w:rFonts w:ascii="Times New Roman" w:eastAsia="Times New Roman" w:hAnsi="Times New Roman" w:cs="Times New Roman"/>
        </w:rPr>
      </w:pPr>
      <w:bookmarkStart w:id="12" w:name="_Toc189806973"/>
    </w:p>
    <w:p w:rsidR="00B644E3" w:rsidRDefault="00A25C94">
      <w:pPr>
        <w:pStyle w:val="Heading1"/>
        <w:rPr>
          <w:rFonts w:ascii="Times New Roman" w:eastAsia="Times New Roman" w:hAnsi="Times New Roman" w:cs="Times New Roman"/>
        </w:rPr>
      </w:pPr>
      <w:r>
        <w:rPr>
          <w:rFonts w:ascii="Times New Roman" w:eastAsia="Times New Roman" w:hAnsi="Times New Roman" w:cs="Times New Roman"/>
        </w:rPr>
        <w:t>TENDERSKA DOKUMENTACIJA</w:t>
      </w:r>
      <w:bookmarkEnd w:id="12"/>
    </w:p>
    <w:p w:rsidR="00B644E3" w:rsidRDefault="00A25C94">
      <w:pPr>
        <w:pStyle w:val="Heading2"/>
        <w:numPr>
          <w:ilvl w:val="0"/>
          <w:numId w:val="13"/>
        </w:numPr>
      </w:pPr>
      <w:bookmarkStart w:id="13" w:name="_Toc189806974"/>
      <w:r>
        <w:t>SADRŽAJ TENDERSKE DOKUMENTACIJE</w:t>
      </w:r>
      <w:bookmarkEnd w:id="13"/>
    </w:p>
    <w:p w:rsidR="00B644E3" w:rsidRDefault="00A25C94">
      <w:r>
        <w:t>Komplet tenderske dokumentacije sastoji se od dokumenata navedenih u pozivnom pismu.</w:t>
      </w:r>
    </w:p>
    <w:p w:rsidR="00B644E3" w:rsidRDefault="00A25C94">
      <w:r>
        <w:t>Ponuđači snose isključivu odgovornost za pažljivo ispitivanje tenderske dokumentacije, uključujući projektnu dokumentaciju koja je dostupna za uvid i sve izmjene tenderske dokumentacije izdate tokom tenderskog perioda, kao i za dobijanje pouzdanih informacija o svim uslovima i obavezama koje mogu na bilo koji način uticati na iznos ili prirodu ponude ili izvođenje radova. U slučaju da ponuđač bude uspješan, neće se razmatrati zahtjev za izmjenom iznosa ponude zbog grešaka ili propusta u gore opisanim obavezama ponuđača.</w:t>
      </w:r>
    </w:p>
    <w:p w:rsidR="00B644E3" w:rsidRDefault="00A25C94">
      <w:pPr>
        <w:pStyle w:val="Heading2"/>
        <w:numPr>
          <w:ilvl w:val="0"/>
          <w:numId w:val="13"/>
        </w:numPr>
      </w:pPr>
      <w:bookmarkStart w:id="14" w:name="_Toc189806975"/>
      <w:r>
        <w:t>OBJAŠNJENJA TENDERSKE DOKUMENTACIJE</w:t>
      </w:r>
      <w:bookmarkEnd w:id="14"/>
    </w:p>
    <w:p w:rsidR="00B644E3" w:rsidRDefault="00A25C94">
      <w:pPr>
        <w:pStyle w:val="Heading3"/>
        <w:numPr>
          <w:ilvl w:val="1"/>
          <w:numId w:val="13"/>
        </w:numPr>
      </w:pPr>
      <w:r>
        <w:t xml:space="preserve">Ponuđači mogu dostaviti pitanja u pisanoj formi do </w:t>
      </w:r>
      <w:r w:rsidR="00A4413A">
        <w:t>21-dan</w:t>
      </w:r>
      <w:r>
        <w:t xml:space="preserve"> prije isteka roka za podnošenje ponuda, navodeći referencu publikacije i naziv ugovora:</w:t>
      </w:r>
    </w:p>
    <w:p w:rsidR="00F13165" w:rsidRPr="00CB7C87" w:rsidRDefault="00A25C94" w:rsidP="00F13165">
      <w:pPr>
        <w:rPr>
          <w:lang w:val="sr-Latn-RS"/>
        </w:rPr>
      </w:pPr>
      <w:r w:rsidRPr="000D4939">
        <w:t xml:space="preserve">Kontakt ime: </w:t>
      </w:r>
      <w:r w:rsidR="00F13165">
        <w:rPr>
          <w:b/>
        </w:rPr>
        <w:t xml:space="preserve">Adaptacija i konzervacija Kule 1 i Kule 2 sa uređenjem dvorišta koji povezuje dvije kule na tvrđavi Kastel </w:t>
      </w:r>
    </w:p>
    <w:p w:rsidR="00B644E3" w:rsidRPr="000D4939" w:rsidRDefault="00F13165">
      <w:pPr>
        <w:ind w:left="1134"/>
      </w:pPr>
      <w:r>
        <w:t xml:space="preserve">Adresa: Trg srpskih vladara 1, 78 000 Banja </w:t>
      </w:r>
      <w:r w:rsidR="00A4413A">
        <w:t>Luka,</w:t>
      </w:r>
      <w:r>
        <w:t xml:space="preserve"> RS-BiH</w:t>
      </w:r>
    </w:p>
    <w:p w:rsidR="00B644E3" w:rsidRDefault="00F13165">
      <w:pPr>
        <w:ind w:left="1134"/>
      </w:pPr>
      <w:r>
        <w:lastRenderedPageBreak/>
        <w:t xml:space="preserve">E-mail: </w:t>
      </w:r>
      <w:hyperlink r:id="rId13" w:history="1">
        <w:r w:rsidRPr="00163EFA">
          <w:rPr>
            <w:rStyle w:val="Hyperlink"/>
          </w:rPr>
          <w:t>mladen.milakovic@banjaluka.rs.ba</w:t>
        </w:r>
      </w:hyperlink>
      <w:r>
        <w:t xml:space="preserve">  </w:t>
      </w:r>
    </w:p>
    <w:p w:rsidR="00B644E3" w:rsidRDefault="00A25C94">
      <w:pPr>
        <w:ind w:left="1134"/>
      </w:pPr>
      <w:r>
        <w:t>Ugovo</w:t>
      </w:r>
      <w:r w:rsidR="00F13165">
        <w:t>rni organ</w:t>
      </w:r>
      <w:r>
        <w:t xml:space="preserve"> nema obavezu da pruži dodatne informacije nakon ovog datuma.</w:t>
      </w:r>
    </w:p>
    <w:p w:rsidR="00BD489A" w:rsidRDefault="00A25C94" w:rsidP="00BD489A">
      <w:pPr>
        <w:ind w:left="1134"/>
      </w:pPr>
      <w:r>
        <w:t xml:space="preserve">Naručilac mora odgovoriti na sva pitanja ponuđača najmanje 11 dana prije isteka roka za prijem ponuda. </w:t>
      </w:r>
      <w:r w:rsidR="00A4413A" w:rsidRPr="00EE5425">
        <w:t>P</w:t>
      </w:r>
      <w:r w:rsidR="00BD489A" w:rsidRPr="00EE5425">
        <w:t>ojašnjenje</w:t>
      </w:r>
      <w:r w:rsidR="00BD489A" w:rsidRPr="00A4413A">
        <w:rPr>
          <w:color w:val="FF0000"/>
        </w:rPr>
        <w:t xml:space="preserve"> </w:t>
      </w:r>
      <w:r w:rsidR="00BD489A">
        <w:t>tenderske dokumentacije</w:t>
      </w:r>
      <w:r>
        <w:t xml:space="preserve"> biće objavljeno na sljedećoj </w:t>
      </w:r>
      <w:bookmarkStart w:id="15" w:name="_Toc189806976"/>
      <w:r w:rsidR="00E8183E" w:rsidRPr="00E8183E">
        <w:t>web stranici:</w:t>
      </w:r>
      <w:r w:rsidR="00E8183E">
        <w:rPr>
          <w:color w:val="FF0000"/>
        </w:rPr>
        <w:t xml:space="preserve"> </w:t>
      </w:r>
      <w:hyperlink r:id="rId14" w:history="1">
        <w:r w:rsidR="00E8183E" w:rsidRPr="00DE12D7">
          <w:rPr>
            <w:rStyle w:val="Hyperlink"/>
          </w:rPr>
          <w:t>javnost@banjaluka.rs.ba</w:t>
        </w:r>
      </w:hyperlink>
    </w:p>
    <w:p w:rsidR="00B644E3" w:rsidRPr="00BD489A" w:rsidRDefault="00BD489A" w:rsidP="00BD489A">
      <w:pPr>
        <w:pStyle w:val="ListParagraph"/>
        <w:numPr>
          <w:ilvl w:val="0"/>
          <w:numId w:val="13"/>
        </w:numPr>
        <w:rPr>
          <w:b/>
        </w:rPr>
      </w:pPr>
      <w:r>
        <w:t xml:space="preserve"> </w:t>
      </w:r>
      <w:r w:rsidR="00A25C94" w:rsidRPr="00BD489A">
        <w:rPr>
          <w:b/>
        </w:rPr>
        <w:t>IZMJENE TENDERSKE DOKUMENTACIJE</w:t>
      </w:r>
      <w:bookmarkEnd w:id="15"/>
    </w:p>
    <w:p w:rsidR="00B644E3" w:rsidRDefault="00A25C94">
      <w:pPr>
        <w:pStyle w:val="Heading3"/>
        <w:numPr>
          <w:ilvl w:val="1"/>
          <w:numId w:val="13"/>
        </w:numPr>
      </w:pPr>
      <w:r>
        <w:t>Naručilac može izmijeniti tendersku dokumentaciju objavljivanjem izmjena do 11 dana prije isteka roka za podnošenje ponuda.</w:t>
      </w:r>
    </w:p>
    <w:p w:rsidR="00B644E3" w:rsidRPr="00E8183E" w:rsidRDefault="00A25C94" w:rsidP="00E8183E">
      <w:pPr>
        <w:pStyle w:val="Heading3"/>
        <w:numPr>
          <w:ilvl w:val="1"/>
          <w:numId w:val="13"/>
        </w:numPr>
      </w:pPr>
      <w:bookmarkStart w:id="16" w:name="_1ksv4uv" w:colFirst="0" w:colLast="0"/>
      <w:bookmarkEnd w:id="16"/>
      <w:r>
        <w:t xml:space="preserve">Svaka objavljena modifikacija činiće dio tenderske dokumentacije i biće objavljena na sljedećoj </w:t>
      </w:r>
      <w:r w:rsidR="00E8183E" w:rsidRPr="00E8183E">
        <w:t xml:space="preserve">web stranici: </w:t>
      </w:r>
      <w:hyperlink r:id="rId15" w:history="1">
        <w:r w:rsidR="00E8183E" w:rsidRPr="00DE12D7">
          <w:rPr>
            <w:rStyle w:val="Hyperlink"/>
          </w:rPr>
          <w:t>javnost@banjaluka.rs.ba</w:t>
        </w:r>
      </w:hyperlink>
      <w:r w:rsidR="00E8183E">
        <w:t xml:space="preserve"> </w:t>
      </w:r>
    </w:p>
    <w:p w:rsidR="00B644E3" w:rsidRDefault="00A25C94">
      <w:pPr>
        <w:pStyle w:val="Heading3"/>
        <w:numPr>
          <w:ilvl w:val="1"/>
          <w:numId w:val="13"/>
        </w:numPr>
      </w:pPr>
      <w:r>
        <w:t xml:space="preserve">Ugovorni organ može, prema potrebi </w:t>
      </w:r>
      <w:r w:rsidR="00A4413A">
        <w:t xml:space="preserve">i </w:t>
      </w:r>
      <w:r>
        <w:t>u skladu sa klauzulom 18, produžiti rok za podnošenje ponuda kako bi ponuđačima dali dovoljno vremena da uzmu u obzir izmjene prilikom pripreme svojih ponuda.</w:t>
      </w:r>
    </w:p>
    <w:p w:rsidR="00B644E3" w:rsidRDefault="00A25C94">
      <w:pPr>
        <w:pStyle w:val="Heading1"/>
        <w:rPr>
          <w:rFonts w:ascii="Times New Roman" w:eastAsia="Times New Roman" w:hAnsi="Times New Roman" w:cs="Times New Roman"/>
        </w:rPr>
      </w:pPr>
      <w:bookmarkStart w:id="17" w:name="_Toc189806977"/>
      <w:r>
        <w:rPr>
          <w:rFonts w:ascii="Times New Roman" w:eastAsia="Times New Roman" w:hAnsi="Times New Roman" w:cs="Times New Roman"/>
        </w:rPr>
        <w:t>PRIPREMA TENDERA</w:t>
      </w:r>
      <w:bookmarkEnd w:id="17"/>
    </w:p>
    <w:p w:rsidR="00B644E3" w:rsidRDefault="00A25C94">
      <w:pPr>
        <w:pStyle w:val="Heading2"/>
        <w:numPr>
          <w:ilvl w:val="0"/>
          <w:numId w:val="13"/>
        </w:numPr>
      </w:pPr>
      <w:bookmarkStart w:id="18" w:name="_Toc189806978"/>
      <w:r>
        <w:t>JEZIK TENDERA</w:t>
      </w:r>
      <w:bookmarkEnd w:id="18"/>
    </w:p>
    <w:p w:rsidR="00B644E3" w:rsidRPr="00A50FB3" w:rsidRDefault="00A25C94" w:rsidP="00A25C94">
      <w:pPr>
        <w:pStyle w:val="Heading3"/>
        <w:numPr>
          <w:ilvl w:val="1"/>
          <w:numId w:val="13"/>
        </w:numPr>
      </w:pPr>
      <w:r w:rsidRPr="00A50FB3">
        <w:t xml:space="preserve">Ponuda i sva prepiska i dokumentacija u vezi sa tenderom koju razmjenjuju ponuđač i Naručilac moraju biti napisani na jeziku procedure, a to je </w:t>
      </w:r>
      <w:r w:rsidR="00187622">
        <w:t>s</w:t>
      </w:r>
      <w:r w:rsidR="00A4413A">
        <w:t xml:space="preserve">rpski jezik ili </w:t>
      </w:r>
      <w:r w:rsidRPr="00A50FB3">
        <w:t>engleski/jezici zemalja učesnica programa i samo latinično pismo.</w:t>
      </w:r>
    </w:p>
    <w:p w:rsidR="00B644E3" w:rsidRPr="00A50FB3" w:rsidRDefault="00237018" w:rsidP="00237018">
      <w:pPr>
        <w:pStyle w:val="Heading3"/>
        <w:numPr>
          <w:ilvl w:val="1"/>
          <w:numId w:val="13"/>
        </w:numPr>
      </w:pPr>
      <w:r>
        <w:t>Relevantno iskustvo (kriterijumi za odabir</w:t>
      </w:r>
      <w:r w:rsidR="00BD489A">
        <w:t>) se može opisati na srpskom</w:t>
      </w:r>
      <w:r>
        <w:t xml:space="preserve"> jeziku.</w:t>
      </w:r>
    </w:p>
    <w:p w:rsidR="00B644E3" w:rsidRDefault="00A25C94" w:rsidP="00966159">
      <w:pPr>
        <w:pStyle w:val="Heading3"/>
      </w:pPr>
      <w:r w:rsidRPr="00A50FB3">
        <w:t xml:space="preserve">Prateća dokumentacija i štampana literatura koju dostavlja </w:t>
      </w:r>
      <w:r w:rsidR="00BD489A">
        <w:t>ponuđač mogu biti na srpskom</w:t>
      </w:r>
      <w:r w:rsidRPr="00A50FB3">
        <w:t xml:space="preserve"> ili drugom jeziku, pod uslovom da im je priložen prevod na jezik postupka. Za potrebe tumačenja ponude prednost ima jezik postupka.</w:t>
      </w:r>
    </w:p>
    <w:p w:rsidR="00B644E3" w:rsidRDefault="00A25C94">
      <w:pPr>
        <w:pStyle w:val="Heading2"/>
        <w:numPr>
          <w:ilvl w:val="0"/>
          <w:numId w:val="13"/>
        </w:numPr>
      </w:pPr>
      <w:bookmarkStart w:id="19" w:name="_Toc189806979"/>
      <w:r>
        <w:t>SADRŽAJ I PREZENTACIJA PONUDE</w:t>
      </w:r>
      <w:bookmarkEnd w:id="19"/>
    </w:p>
    <w:p w:rsidR="00B644E3" w:rsidRDefault="00A25C94">
      <w:pPr>
        <w:pStyle w:val="Heading3"/>
        <w:numPr>
          <w:ilvl w:val="1"/>
          <w:numId w:val="13"/>
        </w:numPr>
      </w:pPr>
      <w:r>
        <w:t>Ponude moraju ispunjavati sljedeće uslove:</w:t>
      </w:r>
    </w:p>
    <w:p w:rsidR="00B644E3" w:rsidRDefault="00A25C94">
      <w:pPr>
        <w:pStyle w:val="Heading4"/>
      </w:pPr>
      <w:r>
        <w:t>Ponude moraju sadržavati dokumente i informacije iz klauzule 12 u nastavku.</w:t>
      </w:r>
    </w:p>
    <w:p w:rsidR="00B644E3" w:rsidRDefault="00A25C94">
      <w:pPr>
        <w:pStyle w:val="Heading4"/>
      </w:pPr>
      <w:r>
        <w:t>Ponudu mora potpisati lice ili lica ovlaštena punomoćjem dostavljenim u skladu sa Obrascem 4.3 u svesci 1, odjeljak 4 tenderskog dosijea.</w:t>
      </w:r>
    </w:p>
    <w:p w:rsidR="00B644E3" w:rsidRDefault="00B644E3">
      <w:pPr>
        <w:pStyle w:val="Heading4"/>
      </w:pPr>
    </w:p>
    <w:p w:rsidR="00B644E3" w:rsidRDefault="00A25C94">
      <w:pPr>
        <w:pStyle w:val="Heading4"/>
      </w:pPr>
      <w:r>
        <w:t>Ponuđač mora dostaviti svu dokumentaciju koja se zahtijeva u tenderskom dosijeu. Svi takvi dokumenti, bez izuzetka, moraju biti striktno u skladu sa ovim uslovima i odredbama i ne sadrže nikakve izmjene i dopune ponuđača. Ponude koje nisu u skladu sa zahtjevima tenderskog dosijea mogu biti odbijene.</w:t>
      </w:r>
    </w:p>
    <w:p w:rsidR="00B644E3" w:rsidRPr="00A50FB3" w:rsidRDefault="00A25C94">
      <w:pPr>
        <w:pStyle w:val="Heading3"/>
        <w:numPr>
          <w:ilvl w:val="1"/>
          <w:numId w:val="13"/>
        </w:numPr>
      </w:pPr>
      <w:r w:rsidRPr="00A50FB3">
        <w:t>Radovi nisu podijeljeni u lotove. Ponude moraju biti za sve navedene količine.</w:t>
      </w:r>
    </w:p>
    <w:p w:rsidR="00B644E3" w:rsidRDefault="00A25C94">
      <w:pPr>
        <w:pStyle w:val="Heading2"/>
        <w:numPr>
          <w:ilvl w:val="0"/>
          <w:numId w:val="13"/>
        </w:numPr>
      </w:pPr>
      <w:bookmarkStart w:id="20" w:name="_Toc189806980"/>
      <w:r>
        <w:t>INFORMACIJE/DOKUMENTE KOJE KOJE DOSTAVI PONUĐAČ</w:t>
      </w:r>
      <w:bookmarkEnd w:id="20"/>
    </w:p>
    <w:p w:rsidR="00B644E3" w:rsidRDefault="00A25C94">
      <w:pPr>
        <w:pStyle w:val="Heading3"/>
        <w:numPr>
          <w:ilvl w:val="1"/>
          <w:numId w:val="13"/>
        </w:numPr>
      </w:pPr>
      <w:r>
        <w:t>Sve ponude moraju sadržavati sljedeće podatke i uredno popunjenu dokumentaciju:</w:t>
      </w:r>
    </w:p>
    <w:p w:rsidR="00B644E3" w:rsidRDefault="00A25C94" w:rsidP="00A25C94">
      <w:pPr>
        <w:pStyle w:val="Heading4"/>
        <w:ind w:left="426"/>
      </w:pPr>
      <w:r>
        <w:t>Obrazac tendera, zaj</w:t>
      </w:r>
      <w:r w:rsidR="00BD489A">
        <w:t>edno sa njegovim Aneksom 1 'I</w:t>
      </w:r>
      <w:r>
        <w:t xml:space="preserve">zjava </w:t>
      </w:r>
      <w:r w:rsidR="00BD489A">
        <w:t xml:space="preserve">časti </w:t>
      </w:r>
      <w:r>
        <w:t>o kriterijumima isključenja i kriterijumima odabira' koristeći obrazac koji je dat na Obrazcu za tender;</w:t>
      </w:r>
      <w:r>
        <w:tab/>
      </w:r>
    </w:p>
    <w:p w:rsidR="00B644E3" w:rsidRDefault="00A25C94">
      <w:pPr>
        <w:pStyle w:val="Heading4"/>
      </w:pPr>
      <w:r>
        <w:t>Dokumentacija koja se zaht</w:t>
      </w:r>
      <w:r w:rsidR="00894504">
        <w:t>j</w:t>
      </w:r>
      <w:r>
        <w:t>eva u obrascu za tender, uključujući sve obrasce u prilogu;</w:t>
      </w:r>
    </w:p>
    <w:p w:rsidR="00B644E3" w:rsidRDefault="00A25C94">
      <w:pPr>
        <w:pStyle w:val="Heading4"/>
      </w:pPr>
      <w:r>
        <w:lastRenderedPageBreak/>
        <w:t>Obrasci dati u svesci 4:</w:t>
      </w:r>
    </w:p>
    <w:p w:rsidR="00B644E3" w:rsidRPr="00DE70A4" w:rsidRDefault="00A25C94" w:rsidP="00066EB5">
      <w:pPr>
        <w:ind w:left="1440" w:firstLine="545"/>
        <w:rPr>
          <w:b/>
        </w:rPr>
      </w:pPr>
      <w:r w:rsidRPr="00DE70A4">
        <w:rPr>
          <w:b/>
        </w:rPr>
        <w:t>Predm</w:t>
      </w:r>
      <w:r w:rsidR="008720D0">
        <w:rPr>
          <w:b/>
        </w:rPr>
        <w:t>j</w:t>
      </w:r>
      <w:r w:rsidRPr="00DE70A4">
        <w:rPr>
          <w:b/>
        </w:rPr>
        <w:t>er (vlastiti šablon)</w:t>
      </w:r>
    </w:p>
    <w:p w:rsidR="00B644E3" w:rsidRPr="00DE70A4" w:rsidRDefault="00DE70A4" w:rsidP="00066EB5">
      <w:pPr>
        <w:ind w:left="1440" w:firstLine="545"/>
        <w:rPr>
          <w:b/>
        </w:rPr>
      </w:pPr>
      <w:r w:rsidRPr="00DE70A4">
        <w:rPr>
          <w:b/>
        </w:rPr>
        <w:t>FINANSIJSKA PONUDA (PAUŠALNI UGOVORI)</w:t>
      </w:r>
    </w:p>
    <w:p w:rsidR="00B644E3" w:rsidRDefault="008720D0">
      <w:pPr>
        <w:pStyle w:val="Heading5"/>
        <w:numPr>
          <w:ilvl w:val="3"/>
          <w:numId w:val="13"/>
        </w:numPr>
      </w:pPr>
      <w:r>
        <w:t>Cijene u dijelu</w:t>
      </w:r>
      <w:r w:rsidR="00A25C94">
        <w:t xml:space="preserve"> 4</w:t>
      </w:r>
      <w:r>
        <w:t xml:space="preserve"> (Volume 4)</w:t>
      </w:r>
      <w:r w:rsidR="00A25C94">
        <w:t xml:space="preserve"> smatraju se utvrđenim na osnovu uslova koji su bili na snazi ​​30 dana prije isteka roka za podnošenje ponuda.</w:t>
      </w:r>
    </w:p>
    <w:p w:rsidR="00B644E3" w:rsidRDefault="00A25C94">
      <w:pPr>
        <w:ind w:left="2835"/>
      </w:pPr>
      <w:r>
        <w:t>Cijene se ne mogu mijenjati.</w:t>
      </w:r>
    </w:p>
    <w:p w:rsidR="00B644E3" w:rsidRDefault="00A25C94">
      <w:pPr>
        <w:pStyle w:val="Heading4"/>
      </w:pPr>
      <w:r>
        <w:t>Izvještaji o novčanim tokovima.</w:t>
      </w:r>
    </w:p>
    <w:p w:rsidR="00B644E3" w:rsidRDefault="00A25C94">
      <w:pPr>
        <w:pStyle w:val="Heading4"/>
      </w:pPr>
      <w:r>
        <w:t>Kopije najnovijih dokumenata koji pokazuju pravni status i mjesto registracije sjedišta ponuđača, punomoćje o ovlaštenju osobe koja potpisuje tender i svu prateću dokumentaciju. Ovi dokumenti moraju pratiti forme u svesci 1, odeljku 4 tenderskog dosijea:</w:t>
      </w:r>
    </w:p>
    <w:p w:rsidR="00B644E3" w:rsidRDefault="00A25C94">
      <w:pPr>
        <w:ind w:left="1985"/>
      </w:pPr>
      <w:r w:rsidRPr="00DE70A4">
        <w:t>Popuniti u skladu sa obrascem tendera</w:t>
      </w:r>
    </w:p>
    <w:p w:rsidR="00B644E3" w:rsidRPr="00DE70A4" w:rsidRDefault="004E4F0D" w:rsidP="005C3260">
      <w:pPr>
        <w:numPr>
          <w:ilvl w:val="0"/>
          <w:numId w:val="1"/>
        </w:numPr>
        <w:ind w:left="2552"/>
        <w:rPr>
          <w:b/>
        </w:rPr>
      </w:pPr>
      <w:r>
        <w:rPr>
          <w:b/>
        </w:rPr>
        <w:t>Opšti podaci o ponuđaču (Obrazac 4.1)</w:t>
      </w:r>
    </w:p>
    <w:p w:rsidR="00B644E3" w:rsidRPr="00DE70A4" w:rsidRDefault="00894504">
      <w:pPr>
        <w:numPr>
          <w:ilvl w:val="0"/>
          <w:numId w:val="1"/>
        </w:numPr>
        <w:ind w:left="2552"/>
        <w:rPr>
          <w:b/>
        </w:rPr>
      </w:pPr>
      <w:r>
        <w:rPr>
          <w:b/>
        </w:rPr>
        <w:t>Punomoć</w:t>
      </w:r>
      <w:r w:rsidR="004E4F0D">
        <w:rPr>
          <w:b/>
        </w:rPr>
        <w:t xml:space="preserve"> (Obrazac 4.3).</w:t>
      </w:r>
    </w:p>
    <w:p w:rsidR="00B644E3" w:rsidRPr="00DE70A4" w:rsidRDefault="00A25C94">
      <w:pPr>
        <w:pStyle w:val="Heading4"/>
        <w:rPr>
          <w:b/>
        </w:rPr>
      </w:pPr>
      <w:r w:rsidRPr="00DE70A4">
        <w:rPr>
          <w:b/>
        </w:rPr>
        <w:t>Obrazac finansijske identifikacije (Obrazac 4.5a) i Dosije pravnog lica (Obrazac 4.5b).</w:t>
      </w:r>
    </w:p>
    <w:p w:rsidR="00B644E3" w:rsidRPr="00DE70A4" w:rsidRDefault="00A25C94">
      <w:pPr>
        <w:pStyle w:val="Heading4"/>
      </w:pPr>
      <w:r w:rsidRPr="00DE70A4">
        <w:t>Podaci o tehničkoj kvalifikaciji ponuđača. Ove informacije moraju pratiti forme u obrascu tendera i uključivati:</w:t>
      </w:r>
    </w:p>
    <w:p w:rsidR="003D387C" w:rsidRPr="003D387C" w:rsidRDefault="003D387C" w:rsidP="003D387C">
      <w:pPr>
        <w:numPr>
          <w:ilvl w:val="0"/>
          <w:numId w:val="1"/>
        </w:numPr>
        <w:ind w:left="2552"/>
        <w:rPr>
          <w:b/>
        </w:rPr>
      </w:pPr>
      <w:r w:rsidRPr="003D387C">
        <w:rPr>
          <w:b/>
        </w:rPr>
        <w:t>prezentaciju organizacije, osoblja i biografije ponuđača (Obrazac 4.6.1.3),</w:t>
      </w:r>
    </w:p>
    <w:p w:rsidR="00B644E3" w:rsidRPr="00DE70A4" w:rsidRDefault="00A25C94">
      <w:pPr>
        <w:numPr>
          <w:ilvl w:val="0"/>
          <w:numId w:val="1"/>
        </w:numPr>
        <w:ind w:left="2552"/>
      </w:pPr>
      <w:r w:rsidRPr="00DE70A4">
        <w:rPr>
          <w:b/>
        </w:rPr>
        <w:t>plan rada sa kratkim opisima glavnih zadataka (Obrazac 4.6.3)</w:t>
      </w:r>
      <w:r w:rsidRPr="00DE70A4">
        <w:t>, koji prikazuje redoslijed i predloženi raspored za realizaciju zadataka.</w:t>
      </w:r>
    </w:p>
    <w:p w:rsidR="00B644E3" w:rsidRPr="00066EB5" w:rsidRDefault="003D387C">
      <w:pPr>
        <w:numPr>
          <w:ilvl w:val="0"/>
          <w:numId w:val="1"/>
        </w:numPr>
        <w:ind w:left="2552"/>
      </w:pPr>
      <w:r w:rsidRPr="003D387C">
        <w:rPr>
          <w:b/>
        </w:rPr>
        <w:t xml:space="preserve">Dokaz o relevantnom iskustvu u izvođenju radova slične prirode, uključujući prirodu i vrijednost ugovora, </w:t>
      </w:r>
      <w:r w:rsidR="008720D0">
        <w:rPr>
          <w:b/>
        </w:rPr>
        <w:t xml:space="preserve">tekuće </w:t>
      </w:r>
      <w:r w:rsidRPr="003D387C">
        <w:rPr>
          <w:b/>
        </w:rPr>
        <w:t>radove i ugovorno angažovane (Obrazac 4.6.4)</w:t>
      </w:r>
      <w:r w:rsidR="00A25C94">
        <w:t>. Dokaz mora uključiti uspješno iskustvo kao glavni izvođač u izgradnji najmanje 3 projekta iste prirode i složenosti uporedivih sa radovima na koje se odnosi tender tokom posljednjih pet godina.</w:t>
      </w:r>
    </w:p>
    <w:p w:rsidR="00B644E3" w:rsidRDefault="00A25C94">
      <w:pPr>
        <w:pStyle w:val="Heading3"/>
        <w:numPr>
          <w:ilvl w:val="1"/>
          <w:numId w:val="13"/>
        </w:numPr>
      </w:pPr>
      <w:r>
        <w:t>Da bi bili podobni za dodjelu ugovora, ponuđači moraju dostaviti</w:t>
      </w:r>
      <w:r w:rsidR="008A4425">
        <w:t xml:space="preserve"> dokaze da ispunjavaju kriterija za odabir</w:t>
      </w:r>
      <w:r>
        <w:t xml:space="preserve">. Ovo moraju obezbijediti ponuđači koristeći obrasce opisane u 12.1 gore i sve dodatne obrasce koje ponuđači </w:t>
      </w:r>
      <w:r w:rsidR="008A4425">
        <w:t>žele da koriste</w:t>
      </w:r>
      <w:r>
        <w:t>.</w:t>
      </w:r>
    </w:p>
    <w:p w:rsidR="00B644E3" w:rsidRDefault="00A25C94">
      <w:pPr>
        <w:ind w:left="1134"/>
      </w:pPr>
      <w:r>
        <w:t>Ako ponudu podnese konzorcij, osim ako nije naveden</w:t>
      </w:r>
      <w:r w:rsidR="008A4425">
        <w:t>o, kriteriji odabira će se prim</w:t>
      </w:r>
      <w:r>
        <w:t>jen</w:t>
      </w:r>
      <w:r w:rsidR="008A4425">
        <w:t>jiva</w:t>
      </w:r>
      <w:r>
        <w:t>ti na konzorcij u cjelini.</w:t>
      </w:r>
    </w:p>
    <w:p w:rsidR="00B644E3" w:rsidRDefault="00A25C94">
      <w:pPr>
        <w:ind w:left="1679" w:firstLine="305"/>
      </w:pPr>
      <w:r w:rsidRPr="00AB20E6">
        <w:t>Kriterijumi za odabir svakog ponuđača su sljedeći:</w:t>
      </w:r>
    </w:p>
    <w:p w:rsidR="00B644E3" w:rsidRDefault="00572D5B" w:rsidP="00572D5B">
      <w:r>
        <w:rPr>
          <w:b/>
          <w:i/>
        </w:rPr>
        <w:t xml:space="preserve">                Ekonomski i finansijski kapaciteti kandidata:</w:t>
      </w:r>
    </w:p>
    <w:p w:rsidR="00AB20E6" w:rsidRPr="00572D5B" w:rsidRDefault="008A4425" w:rsidP="00AB20E6">
      <w:pPr>
        <w:pStyle w:val="ListParagraph"/>
        <w:numPr>
          <w:ilvl w:val="0"/>
          <w:numId w:val="3"/>
        </w:numPr>
        <w:rPr>
          <w:u w:val="single"/>
        </w:rPr>
      </w:pPr>
      <w:r>
        <w:rPr>
          <w:u w:val="single"/>
        </w:rPr>
        <w:t xml:space="preserve">Trenutni koeficijent (trenutna imovina/trenutne </w:t>
      </w:r>
      <w:r w:rsidR="00AB20E6" w:rsidRPr="00572D5B">
        <w:rPr>
          <w:u w:val="single"/>
        </w:rPr>
        <w:t>obaveze) u posljednjoj godini za koju su računi zatvoreni mora biti najmanje 1.</w:t>
      </w:r>
    </w:p>
    <w:p w:rsidR="00237018" w:rsidRDefault="00237018">
      <w:pPr>
        <w:ind w:left="1440"/>
        <w:rPr>
          <w:b/>
          <w:i/>
        </w:rPr>
      </w:pPr>
    </w:p>
    <w:p w:rsidR="00B644E3" w:rsidRDefault="00A25C94">
      <w:pPr>
        <w:ind w:left="1440"/>
      </w:pPr>
      <w:r>
        <w:rPr>
          <w:b/>
          <w:i/>
        </w:rPr>
        <w:t>Tehnički i stručni kapaciteti kandidata:</w:t>
      </w:r>
    </w:p>
    <w:p w:rsidR="00AB20E6" w:rsidRPr="00572D5B" w:rsidRDefault="00AB20E6" w:rsidP="00AB20E6">
      <w:pPr>
        <w:numPr>
          <w:ilvl w:val="0"/>
          <w:numId w:val="9"/>
        </w:numPr>
        <w:rPr>
          <w:u w:val="single"/>
        </w:rPr>
      </w:pPr>
      <w:r w:rsidRPr="00572D5B">
        <w:rPr>
          <w:u w:val="single"/>
        </w:rPr>
        <w:t>Spisak ugovora o radovima koji su izvedeni u proteklih pet godina, u prilogu potvrda druge strane o zadovoljavajućem izvođenju najvažnijih radova.</w:t>
      </w:r>
    </w:p>
    <w:p w:rsidR="00572D5B" w:rsidRPr="008A4425" w:rsidRDefault="00572D5B" w:rsidP="00572D5B">
      <w:pPr>
        <w:pStyle w:val="Blockquote"/>
        <w:numPr>
          <w:ilvl w:val="0"/>
          <w:numId w:val="9"/>
        </w:numPr>
        <w:jc w:val="both"/>
        <w:rPr>
          <w:sz w:val="22"/>
          <w:szCs w:val="22"/>
          <w:u w:val="single"/>
          <w:lang w:val="en-GB"/>
        </w:rPr>
      </w:pPr>
      <w:r w:rsidRPr="008A4425">
        <w:rPr>
          <w:sz w:val="22"/>
          <w:szCs w:val="22"/>
          <w:u w:val="single"/>
          <w:lang w:val="en-GB"/>
        </w:rPr>
        <w:t>Posjeduje stručni certifikat koji odgovara ovom ugovoru, kao što je konzervatorska dozvola za provođenje mjera na kulturnim dobrima.</w:t>
      </w:r>
    </w:p>
    <w:p w:rsidR="00B644E3" w:rsidRPr="00572D5B" w:rsidRDefault="00B644E3">
      <w:pPr>
        <w:ind w:left="1985"/>
        <w:rPr>
          <w:u w:val="single"/>
        </w:rPr>
      </w:pPr>
    </w:p>
    <w:p w:rsidR="00B644E3" w:rsidRPr="00066EB5" w:rsidRDefault="00A25C94">
      <w:pPr>
        <w:pStyle w:val="Heading4"/>
        <w:numPr>
          <w:ilvl w:val="2"/>
          <w:numId w:val="13"/>
        </w:numPr>
      </w:pPr>
      <w:r>
        <w:lastRenderedPageBreak/>
        <w:t>Subjekti koji obezbjeđuju kapacitete:</w:t>
      </w:r>
    </w:p>
    <w:p w:rsidR="00B644E3" w:rsidRDefault="00A25C94">
      <w:pPr>
        <w:ind w:left="1985"/>
      </w:pPr>
      <w:r>
        <w:t>Ekonomski operater se može, kada je to prikladno i za određeni ugovor, osloniti na kapacitete drugih subjekata, bez obzira na pravnu prirodu veza koje ima sa njima. Neki prim</w:t>
      </w:r>
      <w:r w:rsidR="008A4425">
        <w:t>j</w:t>
      </w:r>
      <w:r>
        <w:t>eri kada se to ne može smatrati odgovarajući</w:t>
      </w:r>
      <w:r w:rsidR="00894504">
        <w:t>m od strane Ugovornog organa</w:t>
      </w:r>
      <w:r>
        <w:t xml:space="preserve"> su kada se ponuđač uglavnom oslanja na kapacitete drugih subjekata ili kada se oslanja na ključne kriterijume. Ako se ponuđač oslanja na druge subjekte, on mora dokazati Ugovornom organu da će imati na raspolaganju resurse potrebne za izvršenje ugovora, na primjer tako što će se obavezati</w:t>
      </w:r>
      <w:r w:rsidR="00894504">
        <w:t xml:space="preserve"> da mu ti subjekti </w:t>
      </w:r>
      <w:r>
        <w:t>stave resurse na raspolaganje. Ta</w:t>
      </w:r>
      <w:r w:rsidR="00894504">
        <w:t>kvi subjekti, na primjer</w:t>
      </w:r>
      <w:r w:rsidR="008A4425">
        <w:t xml:space="preserve"> su</w:t>
      </w:r>
      <w:r w:rsidR="00894504">
        <w:t xml:space="preserve"> matično predu</w:t>
      </w:r>
      <w:r w:rsidR="008A4425">
        <w:t>zeće ekonomskog operatera koji mora</w:t>
      </w:r>
      <w:r>
        <w:t xml:space="preserve"> poštovati ista pravila podobnosti, a posebno nacionalnosti, kao i ekonomski operater. Nadalje, tender treba da sadrži poseban dok</w:t>
      </w:r>
      <w:r w:rsidR="00894504">
        <w:t>ument koji sadrži podatke o</w:t>
      </w:r>
      <w:r>
        <w:t xml:space="preserve"> trećem subjektu za relevantni kriterij odabira. Dokaz o kapacitetu se mora d</w:t>
      </w:r>
      <w:r w:rsidR="00894504">
        <w:t>ostaviti na zahtjev Ugovornog organa</w:t>
      </w:r>
      <w:r>
        <w:t>.</w:t>
      </w:r>
    </w:p>
    <w:p w:rsidR="00B644E3" w:rsidRDefault="00A25C94">
      <w:pPr>
        <w:ind w:left="1985"/>
      </w:pPr>
      <w:r>
        <w:t>U pogledu tehničkih i stručnih kriterijuma, ponuđač se može osloniti samo na kapacitete drugih subjekata kod kojih će ovi izvoditi radove za koje su ti kapaciteti potrebni.</w:t>
      </w:r>
    </w:p>
    <w:p w:rsidR="00B644E3" w:rsidRDefault="00A25C94">
      <w:pPr>
        <w:ind w:left="1985"/>
      </w:pPr>
      <w:r>
        <w:t>U pogledu ekonomskih i finansijskih kriterijuma, subjekti na čije se kapacitete ponuđač oslanja, postaju solidarno odgovorni za izvršenje ugovora.</w:t>
      </w:r>
    </w:p>
    <w:p w:rsidR="00B644E3" w:rsidRDefault="00A25C94">
      <w:pPr>
        <w:pStyle w:val="Heading3"/>
        <w:numPr>
          <w:ilvl w:val="1"/>
          <w:numId w:val="13"/>
        </w:numPr>
      </w:pPr>
      <w:r>
        <w:t>P</w:t>
      </w:r>
      <w:r w:rsidR="00894504">
        <w:t>onude koje dostavljaju preduzeća</w:t>
      </w:r>
      <w:r>
        <w:t xml:space="preserve"> u partnerstvu koje formiraju zajedničko preduzeće/konzorcijum takođe moraju ispunjavati sledeće uslove:</w:t>
      </w:r>
    </w:p>
    <w:p w:rsidR="00B644E3" w:rsidRDefault="00A25C94">
      <w:pPr>
        <w:numPr>
          <w:ilvl w:val="0"/>
          <w:numId w:val="12"/>
        </w:numPr>
        <w:tabs>
          <w:tab w:val="left" w:pos="1418"/>
        </w:tabs>
        <w:ind w:left="1418" w:hanging="284"/>
      </w:pPr>
      <w:r>
        <w:t>Ponuda mora sadržavati sve informacije koje se zahtijevaju u gore navedenom 12.1 za svakog člana zajedničkog ulaganja/konzorcijuma i zbirne podatke za izvođenje radova od strane ponuđača.</w:t>
      </w:r>
    </w:p>
    <w:p w:rsidR="00B644E3" w:rsidRDefault="00A25C94">
      <w:pPr>
        <w:numPr>
          <w:ilvl w:val="0"/>
          <w:numId w:val="12"/>
        </w:numPr>
        <w:tabs>
          <w:tab w:val="left" w:pos="1418"/>
        </w:tabs>
        <w:ind w:left="1418" w:hanging="284"/>
      </w:pPr>
      <w:r>
        <w:t>Tender mora biti potpisan na način koji pravno obavezuje sve članove. Jedan član mora biti imenovan za glavnog člana i to imenovanje p</w:t>
      </w:r>
      <w:r w:rsidR="00894504">
        <w:t>otvrđeno dostavljanjem punomoći</w:t>
      </w:r>
      <w:r>
        <w:t xml:space="preserve"> potpisanih od strane zakonski ovlaštenih potpisnika koji predstavljaju sve članove.</w:t>
      </w:r>
    </w:p>
    <w:p w:rsidR="00B644E3" w:rsidRDefault="00A25C94">
      <w:pPr>
        <w:numPr>
          <w:ilvl w:val="0"/>
          <w:numId w:val="12"/>
        </w:numPr>
        <w:tabs>
          <w:tab w:val="left" w:pos="1418"/>
        </w:tabs>
        <w:ind w:left="1418" w:hanging="284"/>
      </w:pPr>
      <w:r>
        <w:t>Svi članovi zajedničkog ulaganja/konzorcijuma su dužni da ostanu u zajedničkom poduhvatu/konzorcijumu tokom cijelog perioda izvršenja ugovora. Pogledajte deklaraciju u obrascu tendera.</w:t>
      </w:r>
    </w:p>
    <w:p w:rsidR="00B644E3" w:rsidRDefault="00A25C94">
      <w:pPr>
        <w:pStyle w:val="Heading2"/>
        <w:numPr>
          <w:ilvl w:val="0"/>
          <w:numId w:val="13"/>
        </w:numPr>
      </w:pPr>
      <w:bookmarkStart w:id="21" w:name="_Toc189806981"/>
      <w:r>
        <w:t>TENDERSKE CIJENE</w:t>
      </w:r>
      <w:bookmarkEnd w:id="21"/>
    </w:p>
    <w:p w:rsidR="00B644E3" w:rsidRDefault="00F755A3">
      <w:pPr>
        <w:pStyle w:val="Heading3"/>
        <w:numPr>
          <w:ilvl w:val="1"/>
          <w:numId w:val="13"/>
        </w:numPr>
      </w:pPr>
      <w:r>
        <w:t>Valuta tendera je u KM</w:t>
      </w:r>
    </w:p>
    <w:p w:rsidR="00F755A3" w:rsidRDefault="00A25C94" w:rsidP="00BD3038">
      <w:pPr>
        <w:pStyle w:val="Heading3"/>
        <w:numPr>
          <w:ilvl w:val="1"/>
          <w:numId w:val="13"/>
        </w:numPr>
      </w:pPr>
      <w:r>
        <w:t xml:space="preserve">Ponuđač </w:t>
      </w:r>
      <w:r w:rsidR="00F755A3">
        <w:t>mora dostaviti predmjer u KM</w:t>
      </w:r>
      <w:r>
        <w:t>. Tenderska cijena mora pokrivati ​​sve radove opisane u tenderskoj dokumentaciji. Svi iznosi u Predm</w:t>
      </w:r>
      <w:r w:rsidR="00F755A3">
        <w:t>j</w:t>
      </w:r>
      <w:r>
        <w:t>eru, Obrascu tendera i drugim dokumentima takođe moraju biti izraženi u ovoj valuti</w:t>
      </w:r>
      <w:r w:rsidR="00F755A3">
        <w:t>.</w:t>
      </w:r>
      <w:r>
        <w:t xml:space="preserve"> </w:t>
      </w:r>
    </w:p>
    <w:p w:rsidR="00B644E3" w:rsidRDefault="00A25C94" w:rsidP="00BD3038">
      <w:pPr>
        <w:pStyle w:val="Heading3"/>
        <w:numPr>
          <w:ilvl w:val="1"/>
          <w:numId w:val="13"/>
        </w:numPr>
      </w:pPr>
      <w:r>
        <w:t>Ponuđači moraju navesti sve komponente predmjera količina. Neće se izvršiti ispla</w:t>
      </w:r>
      <w:r w:rsidR="00F75058">
        <w:t>ta za stavke koje nisu cjenovno definisane</w:t>
      </w:r>
      <w:r>
        <w:t xml:space="preserve">; smatraće se da su takve stavke obuhvaćene drugim stavkama na predmjeru količina.  </w:t>
      </w:r>
    </w:p>
    <w:p w:rsidR="00B644E3" w:rsidRDefault="00A25C94">
      <w:pPr>
        <w:pStyle w:val="Heading3"/>
        <w:numPr>
          <w:ilvl w:val="1"/>
          <w:numId w:val="13"/>
        </w:numPr>
      </w:pPr>
      <w:r>
        <w:t>Ako ponuđač nudi popust, to mora biti jasno navedeno u predmjeru količina u obrascu ponude. Popust mora biti naveden za sve radove.</w:t>
      </w:r>
    </w:p>
    <w:p w:rsidR="00B644E3" w:rsidRDefault="00A25C94">
      <w:pPr>
        <w:pStyle w:val="Heading3"/>
        <w:numPr>
          <w:ilvl w:val="1"/>
          <w:numId w:val="13"/>
        </w:numPr>
      </w:pPr>
      <w:r>
        <w:t>Ako ponuđač ponudi popust, popust mora biti uključen u svaku potvrdu o privremenom plaćanju i obračunat na istoj osnovi kao u ponudi.</w:t>
      </w:r>
    </w:p>
    <w:p w:rsidR="00B644E3" w:rsidRDefault="00A25C94">
      <w:pPr>
        <w:pStyle w:val="Heading2"/>
        <w:numPr>
          <w:ilvl w:val="0"/>
          <w:numId w:val="13"/>
        </w:numPr>
      </w:pPr>
      <w:bookmarkStart w:id="22" w:name="_Toc189806982"/>
      <w:r>
        <w:t>ROK VAŽENJA PONUDA</w:t>
      </w:r>
      <w:bookmarkEnd w:id="22"/>
    </w:p>
    <w:p w:rsidR="00B644E3" w:rsidRDefault="00A25C94">
      <w:pPr>
        <w:pStyle w:val="Heading3"/>
        <w:numPr>
          <w:ilvl w:val="1"/>
          <w:numId w:val="13"/>
        </w:numPr>
      </w:pPr>
      <w:r>
        <w:t>Ponude moraju ostati na snazi ​​u periodu od 90 dana nakon isteka roka za podnošenje ponuda navedenog u obavijesti o ugovoru, pozivu za podnošenje ponuda ili izmjenama i dopunama u skladu sa klauzulama 9 i/ili 18.</w:t>
      </w:r>
    </w:p>
    <w:p w:rsidR="00B644E3" w:rsidRDefault="00A25C94">
      <w:pPr>
        <w:pStyle w:val="Heading3"/>
        <w:numPr>
          <w:ilvl w:val="1"/>
          <w:numId w:val="13"/>
        </w:numPr>
      </w:pPr>
      <w:r>
        <w:lastRenderedPageBreak/>
        <w:t>U izuzetnim okolnostima, Naručilac može, prije isteka roka važenja, tražiti da ponuđači produže rok važenja ponuda za određeni period, koji ne može biti duži od 40 dana. Takvi zahtjevi i odgovori na njih moraju biti u pisanoj formi. Ponuđač može odbiti da udovolji takvom zahtjevu, a da ne izgubi svoju garanciju ponude. Ako ponuđač odluči da prihvati zahtjev, ne može mijenjati svoju ponudu i dužan je da produži važenje garancije za ponudu za revidirani period važenja ponude. U slučaju da se od ugovornog organa traži da pribavi preporuku panela iz tačke 2.6.10.1.1. Praktičnog vodiča, naručilac može tražiti produženje važenja ponuda do usvajanja te preporuke.</w:t>
      </w:r>
    </w:p>
    <w:p w:rsidR="00B644E3" w:rsidRDefault="00A25C94">
      <w:pPr>
        <w:pStyle w:val="Heading3"/>
        <w:numPr>
          <w:ilvl w:val="1"/>
          <w:numId w:val="13"/>
        </w:numPr>
      </w:pPr>
      <w:r>
        <w:t>Uspješni ponuđač mora zadržati svoju ponudu još 60 dana. Ovaj period je dodatak periodu važenja, bez obzira na datum obavještenja.</w:t>
      </w:r>
    </w:p>
    <w:p w:rsidR="00B644E3" w:rsidRDefault="00A25C94">
      <w:pPr>
        <w:pStyle w:val="Heading2"/>
        <w:numPr>
          <w:ilvl w:val="0"/>
          <w:numId w:val="13"/>
        </w:numPr>
      </w:pPr>
      <w:bookmarkStart w:id="23" w:name="_Toc189806983"/>
      <w:r>
        <w:t>GARANCIJA TENDERA</w:t>
      </w:r>
      <w:bookmarkEnd w:id="23"/>
    </w:p>
    <w:p w:rsidR="00B644E3" w:rsidRDefault="00A25C94">
      <w:r w:rsidRPr="00CC689D">
        <w:t>Nije potrebna garancija tendera.</w:t>
      </w:r>
    </w:p>
    <w:p w:rsidR="00B644E3" w:rsidRDefault="00F755A3">
      <w:pPr>
        <w:pStyle w:val="Heading2"/>
        <w:numPr>
          <w:ilvl w:val="0"/>
          <w:numId w:val="13"/>
        </w:numPr>
      </w:pPr>
      <w:bookmarkStart w:id="24" w:name="_Toc189806984"/>
      <w:r>
        <w:t>ALTERNATIVNA</w:t>
      </w:r>
      <w:r w:rsidR="00A25C94">
        <w:t xml:space="preserve"> RJEŠENJA</w:t>
      </w:r>
      <w:bookmarkEnd w:id="24"/>
    </w:p>
    <w:p w:rsidR="00B644E3" w:rsidRDefault="00F755A3">
      <w:r>
        <w:t xml:space="preserve">Alternativna </w:t>
      </w:r>
      <w:r w:rsidR="00A25C94">
        <w:t>rješenja neće biti uzeta u obzir.</w:t>
      </w:r>
    </w:p>
    <w:p w:rsidR="00B644E3" w:rsidRDefault="00B644E3" w:rsidP="00F9171E">
      <w:pPr>
        <w:ind w:left="0"/>
      </w:pPr>
    </w:p>
    <w:p w:rsidR="00B644E3" w:rsidRDefault="00A25C94">
      <w:pPr>
        <w:pStyle w:val="Heading1"/>
        <w:rPr>
          <w:rFonts w:ascii="Times New Roman" w:eastAsia="Times New Roman" w:hAnsi="Times New Roman" w:cs="Times New Roman"/>
        </w:rPr>
      </w:pPr>
      <w:bookmarkStart w:id="25" w:name="_Toc189806985"/>
      <w:r>
        <w:rPr>
          <w:rFonts w:ascii="Times New Roman" w:eastAsia="Times New Roman" w:hAnsi="Times New Roman" w:cs="Times New Roman"/>
        </w:rPr>
        <w:t>PODNOŠENJE PONUDA</w:t>
      </w:r>
      <w:bookmarkEnd w:id="25"/>
    </w:p>
    <w:p w:rsidR="00B644E3" w:rsidRDefault="00A25C94">
      <w:pPr>
        <w:pStyle w:val="Heading2"/>
        <w:numPr>
          <w:ilvl w:val="0"/>
          <w:numId w:val="13"/>
        </w:numPr>
      </w:pPr>
      <w:bookmarkStart w:id="26" w:name="_Toc189806986"/>
      <w:r>
        <w:t>ZAPEČAVANJE, OZNAČAVANJE I PODNOŠENJE PONUDA</w:t>
      </w:r>
      <w:bookmarkEnd w:id="26"/>
    </w:p>
    <w:p w:rsidR="00CC689D" w:rsidRDefault="00A25C94" w:rsidP="00CC689D">
      <w:pPr>
        <w:pStyle w:val="Heading3"/>
        <w:numPr>
          <w:ilvl w:val="1"/>
          <w:numId w:val="13"/>
        </w:numPr>
      </w:pPr>
      <w:r w:rsidRPr="00CC689D">
        <w:t>Kompletna ponuda mora biti dostavljena u jednom originalu, jasno označenom 'original' i jednoj elektronskoj kopiji, jasno označenom 'kopija'. U slučaju bilo kakvog neslaganja između njih, original će prevladati.</w:t>
      </w:r>
    </w:p>
    <w:p w:rsidR="00B644E3" w:rsidRDefault="00A25C94">
      <w:pPr>
        <w:pStyle w:val="Heading3"/>
        <w:numPr>
          <w:ilvl w:val="1"/>
          <w:numId w:val="13"/>
        </w:numPr>
      </w:pPr>
      <w:r>
        <w:t>Tehničke i finansijske ponude moraju se staviti zajedno u zatvorenu kovertu.</w:t>
      </w:r>
    </w:p>
    <w:p w:rsidR="00B644E3" w:rsidRDefault="00A25C94">
      <w:pPr>
        <w:pStyle w:val="Heading3"/>
        <w:numPr>
          <w:ilvl w:val="1"/>
          <w:numId w:val="13"/>
        </w:numPr>
      </w:pPr>
      <w:r>
        <w:t>Sve ponude moraju biti primljen</w:t>
      </w:r>
      <w:r w:rsidR="00B927ED">
        <w:t>e od strane ugovornog organa</w:t>
      </w:r>
      <w:r>
        <w:t xml:space="preserve"> pr</w:t>
      </w:r>
      <w:r w:rsidR="00B927ED">
        <w:t>ij</w:t>
      </w:r>
      <w:r>
        <w:t>e roka navedenog u tački 19 obaveštenja o ugovoru, preporučenim pismom sa potvrdom prijema ili uručenim lično uz potvrdu potpisan</w:t>
      </w:r>
      <w:r w:rsidR="00F755A3">
        <w:t>u od strane ugovornog organa</w:t>
      </w:r>
      <w:r>
        <w:t>.</w:t>
      </w:r>
    </w:p>
    <w:p w:rsidR="00B644E3" w:rsidRDefault="00A25C94">
      <w:pPr>
        <w:ind w:left="1134"/>
      </w:pPr>
      <w:r>
        <w:t>Ponudu je potrebno poslati na sl</w:t>
      </w:r>
      <w:r w:rsidR="00B927ED">
        <w:t>j</w:t>
      </w:r>
      <w:r>
        <w:t>edeću adresu:</w:t>
      </w:r>
    </w:p>
    <w:p w:rsidR="00CC689D" w:rsidRPr="00CC689D" w:rsidRDefault="00F755A3" w:rsidP="00CC689D">
      <w:pPr>
        <w:spacing w:after="0"/>
        <w:jc w:val="left"/>
        <w:rPr>
          <w:b/>
          <w:bCs/>
          <w:snapToGrid w:val="0"/>
          <w:color w:val="000000"/>
        </w:rPr>
      </w:pPr>
      <w:r>
        <w:rPr>
          <w:b/>
          <w:bCs/>
          <w:snapToGrid w:val="0"/>
          <w:color w:val="000000"/>
        </w:rPr>
        <w:t xml:space="preserve">GRAD BANJA LUKA </w:t>
      </w:r>
    </w:p>
    <w:p w:rsidR="00CC689D" w:rsidRPr="00CC689D" w:rsidRDefault="00B927ED" w:rsidP="00CC689D">
      <w:pPr>
        <w:spacing w:after="0"/>
        <w:jc w:val="left"/>
        <w:rPr>
          <w:b/>
          <w:bCs/>
          <w:snapToGrid w:val="0"/>
          <w:color w:val="000000"/>
        </w:rPr>
      </w:pPr>
      <w:r>
        <w:rPr>
          <w:b/>
          <w:bCs/>
          <w:snapToGrid w:val="0"/>
          <w:color w:val="000000"/>
        </w:rPr>
        <w:t>Trg s</w:t>
      </w:r>
      <w:r w:rsidR="00F755A3">
        <w:rPr>
          <w:b/>
          <w:bCs/>
          <w:snapToGrid w:val="0"/>
          <w:color w:val="000000"/>
        </w:rPr>
        <w:t>rpskih vladara 1, 78 000 Banja Luka</w:t>
      </w:r>
    </w:p>
    <w:p w:rsidR="00716853" w:rsidRDefault="00F755A3" w:rsidP="00F755A3">
      <w:pPr>
        <w:spacing w:after="0"/>
        <w:jc w:val="left"/>
        <w:rPr>
          <w:b/>
          <w:bCs/>
          <w:snapToGrid w:val="0"/>
          <w:color w:val="000000"/>
        </w:rPr>
      </w:pPr>
      <w:r>
        <w:rPr>
          <w:b/>
          <w:bCs/>
          <w:snapToGrid w:val="0"/>
          <w:color w:val="000000"/>
        </w:rPr>
        <w:t xml:space="preserve">Odsjek za međunarodnu saradnju i projekte , </w:t>
      </w:r>
    </w:p>
    <w:p w:rsidR="00CC689D" w:rsidRDefault="00F755A3" w:rsidP="00F755A3">
      <w:pPr>
        <w:spacing w:after="0"/>
        <w:jc w:val="left"/>
        <w:rPr>
          <w:b/>
          <w:bCs/>
          <w:snapToGrid w:val="0"/>
          <w:color w:val="000000"/>
        </w:rPr>
      </w:pPr>
      <w:r>
        <w:rPr>
          <w:b/>
          <w:bCs/>
          <w:snapToGrid w:val="0"/>
          <w:color w:val="000000"/>
        </w:rPr>
        <w:t>Za dipl.inž.arh.Mladen Milaković</w:t>
      </w:r>
    </w:p>
    <w:p w:rsidR="00F755A3" w:rsidRPr="00F755A3" w:rsidRDefault="00F755A3" w:rsidP="00F755A3">
      <w:pPr>
        <w:spacing w:after="0"/>
        <w:jc w:val="left"/>
        <w:rPr>
          <w:b/>
          <w:bCs/>
          <w:snapToGrid w:val="0"/>
          <w:color w:val="000000"/>
        </w:rPr>
      </w:pPr>
    </w:p>
    <w:p w:rsidR="00B644E3" w:rsidRDefault="00A25C94">
      <w:pPr>
        <w:ind w:left="1134"/>
      </w:pPr>
      <w:r>
        <w:t>Uko</w:t>
      </w:r>
      <w:r w:rsidR="00F755A3">
        <w:t>liko se ponude dostavljaju na ruke</w:t>
      </w:r>
      <w:r>
        <w:t>, treba ih dostaviti na sljedeću adresu:</w:t>
      </w:r>
    </w:p>
    <w:p w:rsidR="00F755A3" w:rsidRPr="00CC689D" w:rsidRDefault="00F755A3" w:rsidP="00F755A3">
      <w:pPr>
        <w:spacing w:after="0"/>
        <w:jc w:val="left"/>
        <w:rPr>
          <w:b/>
          <w:bCs/>
          <w:snapToGrid w:val="0"/>
          <w:color w:val="000000"/>
        </w:rPr>
      </w:pPr>
      <w:r>
        <w:rPr>
          <w:b/>
          <w:bCs/>
          <w:snapToGrid w:val="0"/>
          <w:color w:val="000000"/>
        </w:rPr>
        <w:t xml:space="preserve">GRAD BANJA LUKA </w:t>
      </w:r>
    </w:p>
    <w:p w:rsidR="00F755A3" w:rsidRPr="00CC689D" w:rsidRDefault="00B927ED" w:rsidP="00F755A3">
      <w:pPr>
        <w:spacing w:after="0"/>
        <w:jc w:val="left"/>
        <w:rPr>
          <w:b/>
          <w:bCs/>
          <w:snapToGrid w:val="0"/>
          <w:color w:val="000000"/>
        </w:rPr>
      </w:pPr>
      <w:r>
        <w:rPr>
          <w:b/>
          <w:bCs/>
          <w:snapToGrid w:val="0"/>
          <w:color w:val="000000"/>
        </w:rPr>
        <w:t>Trg s</w:t>
      </w:r>
      <w:r w:rsidR="00F755A3">
        <w:rPr>
          <w:b/>
          <w:bCs/>
          <w:snapToGrid w:val="0"/>
          <w:color w:val="000000"/>
        </w:rPr>
        <w:t>rpskih vladara 1, 78 000 Banja Luka</w:t>
      </w:r>
    </w:p>
    <w:p w:rsidR="00F755A3" w:rsidRDefault="00F755A3" w:rsidP="00F755A3">
      <w:pPr>
        <w:spacing w:after="0"/>
        <w:jc w:val="left"/>
        <w:rPr>
          <w:b/>
          <w:bCs/>
          <w:snapToGrid w:val="0"/>
          <w:color w:val="000000"/>
        </w:rPr>
      </w:pPr>
      <w:r>
        <w:rPr>
          <w:b/>
          <w:bCs/>
          <w:snapToGrid w:val="0"/>
          <w:color w:val="000000"/>
        </w:rPr>
        <w:t xml:space="preserve">Odsjek za međunarodnu saradnju i projekte , </w:t>
      </w:r>
    </w:p>
    <w:p w:rsidR="00F755A3" w:rsidRDefault="00F755A3" w:rsidP="00F755A3">
      <w:pPr>
        <w:spacing w:after="0"/>
        <w:jc w:val="left"/>
        <w:rPr>
          <w:b/>
          <w:bCs/>
          <w:snapToGrid w:val="0"/>
          <w:color w:val="000000"/>
        </w:rPr>
      </w:pPr>
      <w:r>
        <w:rPr>
          <w:b/>
          <w:bCs/>
          <w:snapToGrid w:val="0"/>
          <w:color w:val="000000"/>
        </w:rPr>
        <w:t>Za dipl.inž.arh.Mladen Milaković</w:t>
      </w:r>
    </w:p>
    <w:p w:rsidR="00F755A3" w:rsidRPr="00F755A3" w:rsidRDefault="00F755A3" w:rsidP="00F755A3">
      <w:pPr>
        <w:spacing w:after="0"/>
        <w:jc w:val="left"/>
        <w:rPr>
          <w:b/>
          <w:bCs/>
          <w:snapToGrid w:val="0"/>
          <w:color w:val="000000"/>
        </w:rPr>
      </w:pPr>
    </w:p>
    <w:p w:rsidR="00CC689D" w:rsidRPr="00CC689D" w:rsidRDefault="00CC689D" w:rsidP="00CC689D">
      <w:pPr>
        <w:jc w:val="left"/>
        <w:rPr>
          <w:snapToGrid w:val="0"/>
          <w:szCs w:val="20"/>
        </w:rPr>
      </w:pPr>
      <w:r w:rsidRPr="00CC689D">
        <w:rPr>
          <w:b/>
          <w:bCs/>
          <w:snapToGrid w:val="0"/>
        </w:rPr>
        <w:t>Radno vri</w:t>
      </w:r>
      <w:r w:rsidR="00F755A3">
        <w:rPr>
          <w:b/>
          <w:bCs/>
          <w:snapToGrid w:val="0"/>
        </w:rPr>
        <w:t>jeme: 8.00–16</w:t>
      </w:r>
      <w:r w:rsidRPr="00CC689D">
        <w:rPr>
          <w:b/>
          <w:bCs/>
          <w:snapToGrid w:val="0"/>
        </w:rPr>
        <w:t>.00h</w:t>
      </w:r>
    </w:p>
    <w:p w:rsidR="00B644E3" w:rsidRDefault="00A25C94" w:rsidP="00CC689D">
      <w:pPr>
        <w:pStyle w:val="Heading3"/>
        <w:numPr>
          <w:ilvl w:val="1"/>
          <w:numId w:val="13"/>
        </w:numPr>
      </w:pPr>
      <w:r>
        <w:t>Ponude, uključujući anekse i svu prateću dokumentaciju, moraju se dostaviti u zatvorenoj koverti koja sadrži samo:</w:t>
      </w:r>
    </w:p>
    <w:p w:rsidR="00B644E3" w:rsidRDefault="00A25C94">
      <w:pPr>
        <w:numPr>
          <w:ilvl w:val="0"/>
          <w:numId w:val="14"/>
        </w:numPr>
        <w:ind w:left="1560"/>
      </w:pPr>
      <w:r>
        <w:t>gornju adresu;</w:t>
      </w:r>
    </w:p>
    <w:p w:rsidR="00B644E3" w:rsidRDefault="00DD1853" w:rsidP="00F755A3">
      <w:r>
        <w:t>Referentni</w:t>
      </w:r>
      <w:r w:rsidR="00A25C94">
        <w:t xml:space="preserve"> kod ovog tenderskog postupka: </w:t>
      </w:r>
      <w:r w:rsidR="00E8183E">
        <w:rPr>
          <w:b/>
        </w:rPr>
        <w:t xml:space="preserve">Ponuda broj : </w:t>
      </w:r>
      <w:r w:rsidR="00A25C94" w:rsidRPr="00DD1853">
        <w:rPr>
          <w:b/>
        </w:rPr>
        <w:t>HR-BA-ME-00047-GIFTSnet</w:t>
      </w:r>
      <w:r w:rsidR="00A25C94">
        <w:t xml:space="preserve"> </w:t>
      </w:r>
      <w:r w:rsidR="00F755A3">
        <w:t xml:space="preserve">, </w:t>
      </w:r>
      <w:r w:rsidR="00A25C94">
        <w:t>riječi 'Ne otvarati prije sjednice otvaranja ponuda' na jeziku tenderskog dosijea i "Ne otvarati prije zvaničnog otvaranja ponude"</w:t>
      </w:r>
    </w:p>
    <w:p w:rsidR="00B644E3" w:rsidRDefault="00A25C94">
      <w:pPr>
        <w:numPr>
          <w:ilvl w:val="0"/>
          <w:numId w:val="14"/>
        </w:numPr>
        <w:ind w:left="1560"/>
      </w:pPr>
      <w:r>
        <w:lastRenderedPageBreak/>
        <w:t>naziv ponuđača.</w:t>
      </w:r>
    </w:p>
    <w:p w:rsidR="00B644E3" w:rsidRDefault="00A25C94">
      <w:pPr>
        <w:pStyle w:val="Heading2"/>
        <w:numPr>
          <w:ilvl w:val="0"/>
          <w:numId w:val="13"/>
        </w:numPr>
      </w:pPr>
      <w:bookmarkStart w:id="27" w:name="_Toc189806987"/>
      <w:r>
        <w:t>PRODUŽENJE ROKA ZA PODNOŠENJE PONUDA</w:t>
      </w:r>
      <w:bookmarkEnd w:id="27"/>
    </w:p>
    <w:p w:rsidR="00B644E3" w:rsidRDefault="00A25C94">
      <w:r>
        <w:t>Naručilac može, po sopstvenom nahođenju, produžiti rok za podnošenje ponuda izdavanjem amandmana u skladu sa tačkom 9. U takvim slučajevima, sva prava i obaveze Naručioca i ponuđača u vezi sa prvobitnim datumom navedenim u obaveštenju o ugovoru biće predmet novog datuma.</w:t>
      </w:r>
    </w:p>
    <w:p w:rsidR="00B644E3" w:rsidRDefault="00A25C94">
      <w:pPr>
        <w:pStyle w:val="Heading2"/>
        <w:numPr>
          <w:ilvl w:val="0"/>
          <w:numId w:val="13"/>
        </w:numPr>
      </w:pPr>
      <w:bookmarkStart w:id="28" w:name="_Toc189806988"/>
      <w:r>
        <w:t>KASNI TENDERI</w:t>
      </w:r>
      <w:bookmarkEnd w:id="28"/>
    </w:p>
    <w:p w:rsidR="00B644E3" w:rsidRDefault="00A25C94">
      <w:pPr>
        <w:pStyle w:val="Heading3"/>
        <w:numPr>
          <w:ilvl w:val="1"/>
          <w:numId w:val="13"/>
        </w:numPr>
      </w:pPr>
      <w:r>
        <w:t>Sve ponude primljene nakon isteka roka za podnošenje navedenog u najavi o ugovoru ili ovim uputstvima će se čuvat</w:t>
      </w:r>
      <w:r w:rsidR="00BD3038">
        <w:t>i od strane Ugovornog organa</w:t>
      </w:r>
      <w:r>
        <w:t>. Garancije će biti vraćene ponuđačima.</w:t>
      </w:r>
    </w:p>
    <w:p w:rsidR="00B644E3" w:rsidRDefault="00A25C94">
      <w:pPr>
        <w:pStyle w:val="Heading3"/>
        <w:numPr>
          <w:ilvl w:val="1"/>
          <w:numId w:val="13"/>
        </w:numPr>
      </w:pPr>
      <w:r>
        <w:t>Ne može se</w:t>
      </w:r>
      <w:r w:rsidR="00BD3038">
        <w:t xml:space="preserve"> prihvatiti odgovornost za zakaš</w:t>
      </w:r>
      <w:r>
        <w:t>n</w:t>
      </w:r>
      <w:r w:rsidR="00BD3038">
        <w:t>jelu isporuku ponuda. Zakaš</w:t>
      </w:r>
      <w:r>
        <w:t>n</w:t>
      </w:r>
      <w:r w:rsidR="00BD3038">
        <w:t>j</w:t>
      </w:r>
      <w:r>
        <w:t>ele ponude će biti odbijene i neće biti ocjenjivane.</w:t>
      </w:r>
    </w:p>
    <w:p w:rsidR="00B644E3" w:rsidRDefault="00A25C94">
      <w:pPr>
        <w:pStyle w:val="Heading2"/>
        <w:numPr>
          <w:ilvl w:val="0"/>
          <w:numId w:val="13"/>
        </w:numPr>
      </w:pPr>
      <w:bookmarkStart w:id="29" w:name="_Toc189806989"/>
      <w:r>
        <w:t>IZMJENA I POVLAČENJE TENDERA</w:t>
      </w:r>
      <w:bookmarkEnd w:id="29"/>
    </w:p>
    <w:p w:rsidR="00B644E3" w:rsidRDefault="00A25C94">
      <w:pPr>
        <w:pStyle w:val="Heading3"/>
        <w:numPr>
          <w:ilvl w:val="1"/>
          <w:numId w:val="13"/>
        </w:numPr>
      </w:pPr>
      <w:r>
        <w:t>Ponuđači mogu izmijeniti ili povući svoje ponude pismenim obavještenjem prije gore navedenog roka. Nijedna ponuda ne može se mijenjati nakon isteka roka za podnošenje. Povlačenja moraju biti bezuslovna i okončaće svako učešće u tenderskoj proceduri.</w:t>
      </w:r>
    </w:p>
    <w:p w:rsidR="00B644E3" w:rsidRDefault="00A25C94">
      <w:pPr>
        <w:pStyle w:val="Heading3"/>
        <w:numPr>
          <w:ilvl w:val="1"/>
          <w:numId w:val="13"/>
        </w:numPr>
      </w:pPr>
      <w:r>
        <w:t>Svako obavještenje o izmjeni ili povlačenju mora biti pripremljeno i dostavljeno u skladu sa klauzulom 17, a koverta mora imati oznaku 'izmjena' ili 'povlačenje', prema potrebi.</w:t>
      </w:r>
    </w:p>
    <w:p w:rsidR="00B644E3" w:rsidRDefault="00A25C94">
      <w:pPr>
        <w:pStyle w:val="Heading3"/>
        <w:numPr>
          <w:ilvl w:val="1"/>
          <w:numId w:val="13"/>
        </w:numPr>
      </w:pPr>
      <w:r>
        <w:t>Povlačenje ponude u periodu između roka za podnošenje i datuma isteka važenja ponude rezultiraće gubitkom garancije ponude.</w:t>
      </w:r>
    </w:p>
    <w:p w:rsidR="00B644E3" w:rsidRDefault="00A25C94">
      <w:pPr>
        <w:pStyle w:val="Heading1"/>
        <w:rPr>
          <w:rFonts w:ascii="Times New Roman" w:eastAsia="Times New Roman" w:hAnsi="Times New Roman" w:cs="Times New Roman"/>
        </w:rPr>
      </w:pPr>
      <w:bookmarkStart w:id="30" w:name="_Toc189806990"/>
      <w:r>
        <w:rPr>
          <w:rFonts w:ascii="Times New Roman" w:eastAsia="Times New Roman" w:hAnsi="Times New Roman" w:cs="Times New Roman"/>
        </w:rPr>
        <w:t>OTVARANJE I VREDNOVANJE TENDERA</w:t>
      </w:r>
      <w:bookmarkEnd w:id="30"/>
    </w:p>
    <w:p w:rsidR="00B644E3" w:rsidRDefault="00A25C94">
      <w:pPr>
        <w:pStyle w:val="Heading2"/>
        <w:numPr>
          <w:ilvl w:val="0"/>
          <w:numId w:val="13"/>
        </w:numPr>
      </w:pPr>
      <w:bookmarkStart w:id="31" w:name="_Toc189806991"/>
      <w:r>
        <w:t>OTVARANJE TENDERA</w:t>
      </w:r>
      <w:bookmarkEnd w:id="31"/>
    </w:p>
    <w:p w:rsidR="00B644E3" w:rsidRDefault="00A25C94">
      <w:pPr>
        <w:pStyle w:val="Heading3"/>
        <w:numPr>
          <w:ilvl w:val="1"/>
          <w:numId w:val="13"/>
        </w:numPr>
      </w:pPr>
      <w:r>
        <w:t>Svrha otvaranja i ispitivanja ponuda je da se provjeri da li su ponude potpune, da li su dostavljene potrebne garancije za ponudu, da li su priložena potrebna dokumentacija i da li su ponude generalno uredne.</w:t>
      </w:r>
    </w:p>
    <w:p w:rsidR="00B644E3" w:rsidRDefault="00A25C94">
      <w:pPr>
        <w:pStyle w:val="Heading3"/>
        <w:numPr>
          <w:ilvl w:val="1"/>
          <w:numId w:val="13"/>
        </w:numPr>
      </w:pPr>
      <w:r>
        <w:t>Ponude će biti otvorene na javnoj sjednici na datum i mjesto naveden u tački 20 Obavještenja o ugovoru od strane komisije imenovane u tu svrhu. Komisija će sastaviti zapisnik sa sastanka, koji mora biti dostupan ponuđačima na zahtjev.</w:t>
      </w:r>
    </w:p>
    <w:p w:rsidR="00B644E3" w:rsidRDefault="00A25C94">
      <w:pPr>
        <w:pStyle w:val="Heading3"/>
        <w:numPr>
          <w:ilvl w:val="1"/>
          <w:numId w:val="13"/>
        </w:numPr>
      </w:pPr>
      <w:r>
        <w:t>Na s</w:t>
      </w:r>
      <w:r w:rsidR="00BD3038">
        <w:t>j</w:t>
      </w:r>
      <w:r>
        <w:t>ednici otvaranja ponuda mogu se objaviti imena ponuđača, c</w:t>
      </w:r>
      <w:r w:rsidR="00BD3038">
        <w:t>ij</w:t>
      </w:r>
      <w:r>
        <w:t>ene tendera, svi ponuđeni popusti, pismena obaveštenja o izmeni i povlačenju, prisustvo garancije za ponudu (ako je potrebna) i druge informacije koje Naručilac smatra odgovarajućim.</w:t>
      </w:r>
    </w:p>
    <w:p w:rsidR="00B644E3" w:rsidRDefault="00A25C94">
      <w:pPr>
        <w:pStyle w:val="Heading3"/>
        <w:numPr>
          <w:ilvl w:val="1"/>
          <w:numId w:val="13"/>
        </w:numPr>
      </w:pPr>
      <w:r>
        <w:t>Nakon javnog otvaranja ponuda, nikakve informacije koje se odnose na ispitivanje, pojašnjenje, ocjenu ili poređenje ponuda ili preporuke u vezi sa dodjelom ugovora ne mogu biti objelodanjene sve dok se ugovor ne dodijeli.</w:t>
      </w:r>
    </w:p>
    <w:p w:rsidR="00B644E3" w:rsidRDefault="00A25C94">
      <w:pPr>
        <w:ind w:left="1134"/>
      </w:pPr>
      <w:r>
        <w:t>Svaki pokušaj ponuđača da utiče na komisiju za ocenjivanje u procesu ispitivanja, pojašnjenja, evaluacije i poređenja ponuda, da dobije informacije o toku postupka ili da utiče na Ugovarača u njegovoj odluci o dodeli ugovora, rezultiraće momentalnim odbijanjem njegove ponude.</w:t>
      </w:r>
    </w:p>
    <w:p w:rsidR="00B644E3" w:rsidRDefault="00A25C94">
      <w:pPr>
        <w:pStyle w:val="Heading2"/>
        <w:numPr>
          <w:ilvl w:val="0"/>
          <w:numId w:val="13"/>
        </w:numPr>
      </w:pPr>
      <w:bookmarkStart w:id="32" w:name="_Toc189806992"/>
      <w:r>
        <w:t>VREDNOVANJE TENDERA</w:t>
      </w:r>
      <w:bookmarkEnd w:id="32"/>
    </w:p>
    <w:p w:rsidR="00B644E3" w:rsidRDefault="00DD1853">
      <w:r>
        <w:t>Ugovorni organ</w:t>
      </w:r>
      <w:r w:rsidR="00A25C94">
        <w:t xml:space="preserve"> zadržava pravo da traži od </w:t>
      </w:r>
      <w:r>
        <w:t>ponuđača da pojasni bilo koji di</w:t>
      </w:r>
      <w:r w:rsidR="00A25C94">
        <w:t>o svoje ponude za koji komisija za oc</w:t>
      </w:r>
      <w:r>
        <w:t>j</w:t>
      </w:r>
      <w:r w:rsidR="00A25C94">
        <w:t>enjivanje smatra da je neophodno da ga proc</w:t>
      </w:r>
      <w:r>
        <w:t>j</w:t>
      </w:r>
      <w:r w:rsidR="00A25C94">
        <w:t>eni. Takvi zahtjevi i odgovori na njih moraju biti u pisanoj formi. Oni ni u kom slučaju ne sm</w:t>
      </w:r>
      <w:r>
        <w:t>iju</w:t>
      </w:r>
      <w:r w:rsidR="00A25C94">
        <w:t xml:space="preserve"> da m</w:t>
      </w:r>
      <w:r>
        <w:t>ij</w:t>
      </w:r>
      <w:r w:rsidR="00A25C94">
        <w:t>enjaju ili pokušavaju da prom</w:t>
      </w:r>
      <w:r>
        <w:t>ij</w:t>
      </w:r>
      <w:r w:rsidR="00A25C94">
        <w:t>ene c</w:t>
      </w:r>
      <w:r>
        <w:t>ij</w:t>
      </w:r>
      <w:r w:rsidR="00A25C94">
        <w:t>enu ili sadržaj ponude, osim da isprave aritmetičke greške koje je otkrila komisija za oc</w:t>
      </w:r>
      <w:r>
        <w:t>ij</w:t>
      </w:r>
      <w:r w:rsidR="00A25C94">
        <w:t>enjivanje prilikom analize ponuda.</w:t>
      </w:r>
    </w:p>
    <w:p w:rsidR="00B644E3" w:rsidRDefault="00B644E3"/>
    <w:p w:rsidR="00B644E3" w:rsidRDefault="00A25C94">
      <w:r>
        <w:t>Naručilac zadržava pravo da provjeri informacije koje je dostavio ponuđač ako komisija za procjenu to smatra potrebnim.</w:t>
      </w:r>
    </w:p>
    <w:p w:rsidR="00B644E3" w:rsidRDefault="00A25C94">
      <w:pPr>
        <w:pStyle w:val="Heading3"/>
        <w:numPr>
          <w:ilvl w:val="1"/>
          <w:numId w:val="13"/>
        </w:numPr>
      </w:pPr>
      <w:r>
        <w:t>Ispitivanje administrativne usklađenosti tendera</w:t>
      </w:r>
    </w:p>
    <w:p w:rsidR="00B644E3" w:rsidRDefault="00A25C94">
      <w:pPr>
        <w:ind w:left="1134"/>
      </w:pPr>
      <w:r>
        <w:t xml:space="preserve">Cilj u ovoj fazi je provjeriti da li su ponude u skladu </w:t>
      </w:r>
      <w:r w:rsidR="00EB46FE">
        <w:t>sa zahtjevima tenderske dokumentacije</w:t>
      </w:r>
      <w:r>
        <w:t>. Smatra se da je ponuda usklađena ako ispunjava sve uslove, proced</w:t>
      </w:r>
      <w:r w:rsidR="00EB46FE">
        <w:t>ure i specifikacije u tenderskoj dokumentaciji</w:t>
      </w:r>
      <w:r>
        <w:t xml:space="preserve"> bez suštinskog odstupanja ili dodavanja ograničenja na njih.</w:t>
      </w:r>
    </w:p>
    <w:p w:rsidR="00B644E3" w:rsidRDefault="00A25C94">
      <w:pPr>
        <w:ind w:left="1134"/>
      </w:pPr>
      <w:r>
        <w:t>Značajna odstupanja ili ograničenja su ona koja utiču na obim, kvalitet ili izvršenje ugovora, uveliko s</w:t>
      </w:r>
      <w:r w:rsidR="00EB46FE">
        <w:t>e razlikuju od uslova tenderske dokumentacije</w:t>
      </w:r>
      <w:r>
        <w:t>, ogranič</w:t>
      </w:r>
      <w:r w:rsidR="00EB46FE">
        <w:t>avaju prava ugovornog organa</w:t>
      </w:r>
      <w:r>
        <w:t xml:space="preserve"> ili obaveze ponuđača prema ugovoru ili narušavaju konkurenciju za ponuđače čije ponude su u skladu. Odluke da ponuda nije administrativno usklađena moraju biti propisno obrazložene u zapisniku o evaluaciji.</w:t>
      </w:r>
    </w:p>
    <w:p w:rsidR="00B644E3" w:rsidRDefault="00A25C94">
      <w:pPr>
        <w:ind w:left="1134"/>
      </w:pPr>
      <w:r>
        <w:t>Komisija za evaluaciju će provjeriti da li svaka ponuda:</w:t>
      </w:r>
    </w:p>
    <w:p w:rsidR="00B644E3" w:rsidRDefault="00A25C94">
      <w:pPr>
        <w:numPr>
          <w:ilvl w:val="0"/>
          <w:numId w:val="15"/>
        </w:numPr>
        <w:spacing w:after="0"/>
        <w:ind w:left="1559" w:hanging="357"/>
      </w:pPr>
      <w:r>
        <w:t>je propisno potpisan</w:t>
      </w:r>
      <w:r w:rsidR="00EB46FE">
        <w:t>a</w:t>
      </w:r>
      <w:r>
        <w:t>;</w:t>
      </w:r>
    </w:p>
    <w:p w:rsidR="00B644E3" w:rsidRDefault="00A25C94">
      <w:pPr>
        <w:numPr>
          <w:ilvl w:val="0"/>
          <w:numId w:val="15"/>
        </w:numPr>
        <w:spacing w:after="0"/>
        <w:ind w:left="1559" w:hanging="357"/>
      </w:pPr>
      <w:r>
        <w:t>uključuje ispravnu garanciju ponude (ako je potrebna);</w:t>
      </w:r>
    </w:p>
    <w:p w:rsidR="00B644E3" w:rsidRDefault="00A25C94">
      <w:pPr>
        <w:numPr>
          <w:ilvl w:val="0"/>
          <w:numId w:val="15"/>
        </w:numPr>
        <w:spacing w:after="0"/>
        <w:ind w:left="1559" w:hanging="357"/>
      </w:pPr>
      <w:r>
        <w:t>ispunjava zahtjeve navedene u tablici administrativne usklađenosti;</w:t>
      </w:r>
    </w:p>
    <w:p w:rsidR="00B644E3" w:rsidRDefault="00A25C94">
      <w:pPr>
        <w:numPr>
          <w:ilvl w:val="0"/>
          <w:numId w:val="15"/>
        </w:numPr>
        <w:spacing w:after="0"/>
        <w:ind w:left="1559" w:hanging="357"/>
      </w:pPr>
      <w:r>
        <w:t>posjeduje kompletnu dokumentaciju i informacije;</w:t>
      </w:r>
    </w:p>
    <w:p w:rsidR="00B644E3" w:rsidRDefault="00A25C94">
      <w:pPr>
        <w:numPr>
          <w:ilvl w:val="0"/>
          <w:numId w:val="15"/>
        </w:numPr>
        <w:ind w:left="1560"/>
      </w:pPr>
      <w:r>
        <w:t>suštinski u skladu sa zahtjevima ove tenderske dokumentacije.</w:t>
      </w:r>
    </w:p>
    <w:p w:rsidR="00B644E3" w:rsidRDefault="00A25C94">
      <w:pPr>
        <w:ind w:left="1134"/>
      </w:pPr>
      <w:r>
        <w:t>Ako ponuda ne ispunjava uslove navedene u tablici administrativne usklađenosti, komisija za ocjenjivanje može je odbiti prilikom provjere prihvatljivosti.</w:t>
      </w:r>
    </w:p>
    <w:p w:rsidR="00B644E3" w:rsidRDefault="00A25C94" w:rsidP="00066EB5">
      <w:pPr>
        <w:ind w:left="1134"/>
      </w:pPr>
      <w:r>
        <w:t>Ugovorni autoritet (partner na projektu) može tražiti pojašnjenje i dopunu dokumenata koji se odnose na administrativnu usklađenost.</w:t>
      </w:r>
    </w:p>
    <w:p w:rsidR="00B644E3" w:rsidRDefault="00A25C94">
      <w:pPr>
        <w:pStyle w:val="Heading3"/>
        <w:numPr>
          <w:ilvl w:val="1"/>
          <w:numId w:val="13"/>
        </w:numPr>
      </w:pPr>
      <w:r>
        <w:t>Tehnička procjena</w:t>
      </w:r>
    </w:p>
    <w:p w:rsidR="00B644E3" w:rsidRDefault="00A25C94">
      <w:pPr>
        <w:ind w:left="1134"/>
      </w:pPr>
      <w:r>
        <w:t>Komisija za ocjenjivanje mora ocijeniti samo one ponude za koje se smatra da su suštinski usklađene u skladu sa klauzulom 22.1.</w:t>
      </w:r>
    </w:p>
    <w:p w:rsidR="00B644E3" w:rsidRDefault="00A25C94" w:rsidP="00A879AE">
      <w:pPr>
        <w:ind w:left="1134"/>
      </w:pPr>
      <w:r>
        <w:t>U ovom koraku postupka ocenjivanja, Komisija će analizirati tehničku usklađenost ponuda u odnosu na tehničke specifikacije, klasifikujući ih kao tehnički usklađene ili neusaglašene.</w:t>
      </w:r>
    </w:p>
    <w:p w:rsidR="00B644E3" w:rsidRDefault="00A25C94">
      <w:pPr>
        <w:pStyle w:val="Heading3"/>
        <w:numPr>
          <w:ilvl w:val="1"/>
          <w:numId w:val="13"/>
        </w:numPr>
      </w:pPr>
      <w:r>
        <w:t>Finansijska procjena</w:t>
      </w:r>
    </w:p>
    <w:p w:rsidR="00B644E3" w:rsidRDefault="00A25C94">
      <w:pPr>
        <w:ind w:left="1134"/>
      </w:pPr>
      <w:r>
        <w:t>Kada je tehnička evaluacija završena, komisija za evaluaciju provjerava da li finansijske ponude ne sadrže aritmetičke greške. Ako tenders</w:t>
      </w:r>
      <w:r w:rsidR="00EB46FE">
        <w:t>ka procedura sadrži više lotova</w:t>
      </w:r>
      <w:r>
        <w:t>, finansijske ponude se upoređuju za svaki lot. Finansijska procjena će</w:t>
      </w:r>
      <w:r w:rsidR="00EB46FE">
        <w:t xml:space="preserve"> morati identifikovati</w:t>
      </w:r>
      <w:r>
        <w:t xml:space="preserve"> najbolju finansijsku ponudu za svaki lot, uzimajući u obzir sve ponuđene popuste.</w:t>
      </w:r>
    </w:p>
    <w:p w:rsidR="00B644E3" w:rsidRDefault="00A25C94">
      <w:pPr>
        <w:ind w:left="1134"/>
      </w:pPr>
      <w:r>
        <w:t>Prilikom analize ponude, komisija za evaluaciju će izračunati konačnu cijenu ponude nakon usklađivanja na osnovu klauzule 23.</w:t>
      </w:r>
    </w:p>
    <w:p w:rsidR="00B644E3" w:rsidRDefault="00A25C94">
      <w:pPr>
        <w:pStyle w:val="Heading2"/>
        <w:numPr>
          <w:ilvl w:val="0"/>
          <w:numId w:val="13"/>
        </w:numPr>
      </w:pPr>
      <w:bookmarkStart w:id="33" w:name="_Toc189806993"/>
      <w:r>
        <w:t>ISPRAVLJANJE GREŠKA</w:t>
      </w:r>
      <w:bookmarkEnd w:id="33"/>
    </w:p>
    <w:p w:rsidR="00B644E3" w:rsidRDefault="00A25C94">
      <w:pPr>
        <w:pStyle w:val="Heading3"/>
        <w:numPr>
          <w:ilvl w:val="1"/>
          <w:numId w:val="13"/>
        </w:numPr>
      </w:pPr>
      <w:r>
        <w:t>Eventualne greške u finansijskoj ponudi će komisija za ocjenjivanje ispraviti na sljedeći način:</w:t>
      </w:r>
    </w:p>
    <w:p w:rsidR="00B644E3" w:rsidRDefault="00A25C94">
      <w:pPr>
        <w:numPr>
          <w:ilvl w:val="0"/>
          <w:numId w:val="17"/>
        </w:numPr>
        <w:spacing w:after="0"/>
        <w:ind w:left="1559" w:hanging="357"/>
      </w:pPr>
      <w:r>
        <w:t>kada postoji neslaganje između iznosa u ciframa i slovima, prevladat će iznos koji je izražen slovima;</w:t>
      </w:r>
    </w:p>
    <w:p w:rsidR="00B644E3" w:rsidRDefault="00A25C94">
      <w:pPr>
        <w:pStyle w:val="Heading3"/>
        <w:numPr>
          <w:ilvl w:val="1"/>
          <w:numId w:val="13"/>
        </w:numPr>
      </w:pPr>
      <w:r>
        <w:t>Iznos naveden u ponudi će u slučaju greške korigovati komisija za evaluaciju, a ponuđač će biti vezan za taj prilagođeni iznos. Ako ponuđač ne prihvati prilagođavanje, njegova ponuda će biti odbijena i gar</w:t>
      </w:r>
      <w:r w:rsidR="00EB46FE">
        <w:t>ancija ponude će biti nevažeća</w:t>
      </w:r>
      <w:r>
        <w:t>.</w:t>
      </w:r>
    </w:p>
    <w:p w:rsidR="00B644E3" w:rsidRDefault="00A25C94">
      <w:pPr>
        <w:pStyle w:val="Heading1"/>
        <w:rPr>
          <w:rFonts w:ascii="Times New Roman" w:eastAsia="Times New Roman" w:hAnsi="Times New Roman" w:cs="Times New Roman"/>
        </w:rPr>
      </w:pPr>
      <w:bookmarkStart w:id="34" w:name="_Toc189806994"/>
      <w:r>
        <w:rPr>
          <w:rFonts w:ascii="Times New Roman" w:eastAsia="Times New Roman" w:hAnsi="Times New Roman" w:cs="Times New Roman"/>
        </w:rPr>
        <w:lastRenderedPageBreak/>
        <w:t>DODJELA UGOVORA</w:t>
      </w:r>
      <w:bookmarkEnd w:id="34"/>
    </w:p>
    <w:p w:rsidR="00B644E3" w:rsidRDefault="00A25C94">
      <w:pPr>
        <w:pStyle w:val="Heading2"/>
        <w:numPr>
          <w:ilvl w:val="0"/>
          <w:numId w:val="13"/>
        </w:numPr>
      </w:pPr>
      <w:bookmarkStart w:id="35" w:name="_Toc189806995"/>
      <w:r>
        <w:t>KRITERIJI ZA DODJELU</w:t>
      </w:r>
      <w:bookmarkEnd w:id="35"/>
    </w:p>
    <w:p w:rsidR="00B644E3" w:rsidRPr="00A87752" w:rsidRDefault="00A25C94">
      <w:r w:rsidRPr="00A87752">
        <w:t>Ekonomski najpovoljnija ponuda je tehnički usaglašena ponuda sa najnižom cijenom.</w:t>
      </w:r>
    </w:p>
    <w:p w:rsidR="00B644E3" w:rsidRPr="00A87752" w:rsidRDefault="00A25C94" w:rsidP="00066EB5">
      <w:pPr>
        <w:ind w:firstLine="11"/>
      </w:pPr>
      <w:r w:rsidRPr="00A87752">
        <w:t>Kriterijumi za dodelu su opisani u tački 17 Obaveštenja o ugovoru.</w:t>
      </w:r>
    </w:p>
    <w:p w:rsidR="00B644E3" w:rsidRDefault="00A25C94">
      <w:pPr>
        <w:pStyle w:val="Heading2"/>
        <w:numPr>
          <w:ilvl w:val="0"/>
          <w:numId w:val="13"/>
        </w:numPr>
      </w:pPr>
      <w:bookmarkStart w:id="36" w:name="_Toc189806996"/>
      <w:r>
        <w:t>Obavijest o dodjeli, pojašnjenja ugovora</w:t>
      </w:r>
      <w:bookmarkEnd w:id="36"/>
    </w:p>
    <w:p w:rsidR="00B644E3" w:rsidRDefault="00A25C94">
      <w:r>
        <w:t>Prije isteka perioda važenja ponuda, ugovorni organ će pismeno obavijestiti uspješnog ponuđača da je njegova ponuda odabrana i skrenuti mu pažnju na sve aritmetičke greške ispravljene tokom procesa evaluacije. Ovo obavještenje može biti u obliku poziva za pojašnjenje određenih ugovornih pitanja koja se u njemu postavljaju, na koje ponuđač mora biti spreman odgovoriti. Ovo pojašnjenje biće ograničeno na pitanja koja nisu imala direktan uticaj na izbor uspešnog tendera. Ishod takvog pojašnjenja biće izložen u memorandumu o pojašnjenju, koji će potpisati obe strane i koji će biti uključen u ugovor.</w:t>
      </w:r>
    </w:p>
    <w:p w:rsidR="00B644E3" w:rsidRPr="009C534C" w:rsidRDefault="00A25C94">
      <w:r w:rsidRPr="009C534C">
        <w:t>Dokumentovani dokazi koji se traže od uspešnog ponuđača:</w:t>
      </w:r>
    </w:p>
    <w:p w:rsidR="00B644E3" w:rsidRDefault="00A25C94">
      <w:r w:rsidRPr="009C534C">
        <w:t>Prije nego što Ugovarač potpiše ugovor sa uspješnim ponuđačem, uspješni ponuđač mora, ako</w:t>
      </w:r>
      <w:r w:rsidR="00EB46FE">
        <w:t xml:space="preserve"> to zahtijeva Ugovorni organ</w:t>
      </w:r>
      <w:r w:rsidRPr="009C534C">
        <w:t xml:space="preserve">, dostaviti dokumentovani dokaz ili izjave koje se zahtijevaju prema zakonu zemlje u kojoj je </w:t>
      </w:r>
      <w:r w:rsidR="00EB46FE">
        <w:t>registrovano preduzeće (ili, za konzorcijume, svaku</w:t>
      </w:r>
      <w:r w:rsidRPr="009C534C">
        <w:t xml:space="preserve"> od kompanija) osnovana, kako bi pokazao da ne spada ni u jednu od situacija is</w:t>
      </w:r>
      <w:r w:rsidR="00EB46FE">
        <w:t>ključenja navedenih u Tenderskoj dokumentaciji</w:t>
      </w:r>
      <w:r w:rsidRPr="009C534C">
        <w:t>. Ovi dokazi, dokumenti ili izjave moraju imati datum, koji ne može biti duži od godinu dana prije datuma podnošenja ponude. Osim toga, mora se dostaviti izjava u kojoj se navodi da se situacije opisane u ovim dokumentima od tada nisu promijenile. Gore navedena dokumentacija mora biti dostavljena za ponuđača, svakog člana zajedničkog ulaganja/konzorcijuma, sve podizvođače i svakog dobavljača. U slučaju sumnje u vezi sa ovom iz</w:t>
      </w:r>
      <w:r w:rsidR="00B20EF3">
        <w:t xml:space="preserve">javom časti, ugovorni organ </w:t>
      </w:r>
      <w:r w:rsidRPr="009C534C">
        <w:t>mora zatražiti dokumentovani dokaz da nije u situaciji isključenja.</w:t>
      </w:r>
    </w:p>
    <w:p w:rsidR="00B644E3" w:rsidRPr="009C534C" w:rsidRDefault="00A25C94">
      <w:r w:rsidRPr="009C534C">
        <w:t>Dokazi o finansijskoj, ekonomskoj, tehničkoj i stručnoj sposobnosti prema kriterijumima za odabir navedenim u pododjeljku 12.2 iznad će se tražiti osim ako zadovoljavajuća dokumenta već nisu uključena u tender.</w:t>
      </w:r>
    </w:p>
    <w:p w:rsidR="00B644E3" w:rsidRDefault="00A25C94">
      <w:r w:rsidRPr="009C534C">
        <w:t xml:space="preserve">Ako se od uspješnog ponuđača traži da dostavi dokumentovani dokaz, ali ne dostavi </w:t>
      </w:r>
      <w:r w:rsidR="00B20EF3">
        <w:t>isti</w:t>
      </w:r>
      <w:r w:rsidRPr="009C534C">
        <w:t xml:space="preserve"> ili izjavu u roku od 15 kalendarskih dana nakon obavještenja o dodjeli ili ako se utvrdi da je uspješni ponuđa</w:t>
      </w:r>
      <w:r w:rsidR="00B20EF3">
        <w:t>č dao lažne informacije, ugovor će se smatrati ništavnim</w:t>
      </w:r>
      <w:r w:rsidRPr="009C534C">
        <w:t xml:space="preserve">. U </w:t>
      </w:r>
      <w:r w:rsidR="00B20EF3">
        <w:t>ovom slučaju, Ugovorni organ</w:t>
      </w:r>
      <w:r w:rsidRPr="009C534C">
        <w:t xml:space="preserve"> može dodijeliti ponudu sljedećem najnižem ponuđaču ili poništiti tendersku proceduru.</w:t>
      </w:r>
    </w:p>
    <w:p w:rsidR="00B644E3" w:rsidRDefault="00A25C94">
      <w:r>
        <w:t>Nakon š</w:t>
      </w:r>
      <w:r w:rsidR="00B20EF3">
        <w:t>to je ugovor potpisan i uspješan</w:t>
      </w:r>
      <w:r>
        <w:t xml:space="preserve"> ponuđač</w:t>
      </w:r>
      <w:r w:rsidR="00B20EF3">
        <w:t xml:space="preserve"> će</w:t>
      </w:r>
      <w:r>
        <w:t xml:space="preserve"> obezbijedi garanciju za dobro izvršenje posla, u skladu sa klauzulom 26, Naručilac će odmah obavijestiti ostale ponuđače da njihove ponude nisu bile uspješne i osloboditi njihove garancije za ponudu.</w:t>
      </w:r>
    </w:p>
    <w:p w:rsidR="00B644E3" w:rsidRDefault="00A25C94">
      <w:r>
        <w:t>Podnošenjem ponude svaki ponuđač prihvata da elektronskim putem prima obavještenje o ishodu postupka. Takvo obavještenje će se smatrati primljenim na dan kada ga naručilac pošalje na elektronsku adresu navedenu u ponudi.</w:t>
      </w:r>
    </w:p>
    <w:p w:rsidR="00B644E3" w:rsidRDefault="00A25C94">
      <w:pPr>
        <w:pStyle w:val="Heading2"/>
        <w:numPr>
          <w:ilvl w:val="0"/>
          <w:numId w:val="13"/>
        </w:numPr>
      </w:pPr>
      <w:bookmarkStart w:id="37" w:name="_Toc189806997"/>
      <w:r>
        <w:t>POTPISIVANJE UGOVORA I GARANCIJA IZVRŠENJA</w:t>
      </w:r>
      <w:bookmarkEnd w:id="37"/>
    </w:p>
    <w:p w:rsidR="00B644E3" w:rsidRDefault="00A25C94">
      <w:pPr>
        <w:pStyle w:val="Heading3"/>
        <w:numPr>
          <w:ilvl w:val="1"/>
          <w:numId w:val="13"/>
        </w:numPr>
      </w:pPr>
      <w:r>
        <w:t>U roku od 30 dana od prijema ugovora koji je</w:t>
      </w:r>
      <w:r w:rsidR="00B20EF3">
        <w:t xml:space="preserve"> već potpisao Ugovorni organ</w:t>
      </w:r>
      <w:r>
        <w:t xml:space="preserve">, izabrani ponuđač mora potpisati i datirati ugovor i vratiti ga, sa garancijom za izvršenje (ako je </w:t>
      </w:r>
      <w:r w:rsidR="00B20EF3">
        <w:t>primenjivo) ugovornom organu</w:t>
      </w:r>
      <w:r>
        <w:t>. Potpisivanjem ugovora uspješni ponuđač postaje Izvođač i ugovor stupa na snagu.</w:t>
      </w:r>
    </w:p>
    <w:p w:rsidR="00B644E3" w:rsidRDefault="00B644E3">
      <w:pPr>
        <w:ind w:left="1134"/>
      </w:pPr>
    </w:p>
    <w:p w:rsidR="00B644E3" w:rsidRDefault="00A25C94">
      <w:pPr>
        <w:pStyle w:val="Heading2"/>
        <w:numPr>
          <w:ilvl w:val="0"/>
          <w:numId w:val="13"/>
        </w:numPr>
      </w:pPr>
      <w:bookmarkStart w:id="38" w:name="_Toc189806998"/>
      <w:r>
        <w:t>PONIŠTENJE TENDERSKOG POSTUPKA</w:t>
      </w:r>
      <w:bookmarkEnd w:id="38"/>
    </w:p>
    <w:p w:rsidR="00B644E3" w:rsidRDefault="00A25C94">
      <w:r>
        <w:t>U slučaju poništenja tenderske procedure, ponuđači će biti obaviješteni od strane Ugovornog organa. Ako se tenderska procedura poništi prije otvaranja ponuda, zatvorene koverte će se, neotvorene, vratiti ponuđačima.</w:t>
      </w:r>
    </w:p>
    <w:p w:rsidR="00B644E3" w:rsidRDefault="00A25C94">
      <w:r>
        <w:lastRenderedPageBreak/>
        <w:t>Otkazivanje se može dogoditi, na primjer, kada:</w:t>
      </w:r>
    </w:p>
    <w:p w:rsidR="00B644E3" w:rsidRDefault="00A25C94">
      <w:pPr>
        <w:numPr>
          <w:ilvl w:val="0"/>
          <w:numId w:val="18"/>
        </w:numPr>
        <w:spacing w:after="40"/>
        <w:ind w:left="1134" w:hanging="357"/>
      </w:pPr>
      <w:r>
        <w:t>tenderska procedura je bila neuspješna, odnosno kada nije pristigla kvalitativno ili finansijski isplativa ponuda ili uopšte nije bilo valjanog odgovora;</w:t>
      </w:r>
    </w:p>
    <w:p w:rsidR="00B644E3" w:rsidRDefault="00A25C94">
      <w:pPr>
        <w:numPr>
          <w:ilvl w:val="0"/>
          <w:numId w:val="18"/>
        </w:numPr>
        <w:spacing w:after="40"/>
        <w:ind w:left="1134" w:hanging="357"/>
      </w:pPr>
      <w:r>
        <w:t>ekonomski ili tehnički parametri projekta su iz temelja izmijenjeni;</w:t>
      </w:r>
    </w:p>
    <w:p w:rsidR="00B644E3" w:rsidRDefault="00A25C94">
      <w:pPr>
        <w:numPr>
          <w:ilvl w:val="0"/>
          <w:numId w:val="18"/>
        </w:numPr>
        <w:spacing w:after="40"/>
        <w:ind w:left="1134" w:hanging="357"/>
      </w:pPr>
      <w:r>
        <w:t>izuzetne okolnosti ili viša sila onemogućavaju normalno izvođenje projekta;</w:t>
      </w:r>
    </w:p>
    <w:p w:rsidR="00B644E3" w:rsidRDefault="00A25C94">
      <w:pPr>
        <w:numPr>
          <w:ilvl w:val="0"/>
          <w:numId w:val="18"/>
        </w:numPr>
        <w:spacing w:after="40"/>
        <w:ind w:left="1134" w:hanging="357"/>
      </w:pPr>
      <w:r>
        <w:t>svi tehnički usklađeni tenderi premašuju raspoloživa finansijska sredstva;</w:t>
      </w:r>
    </w:p>
    <w:p w:rsidR="00B644E3" w:rsidRDefault="00A25C94">
      <w:pPr>
        <w:numPr>
          <w:ilvl w:val="0"/>
          <w:numId w:val="18"/>
        </w:numPr>
        <w:spacing w:after="40"/>
        <w:ind w:left="1134" w:hanging="357"/>
      </w:pPr>
      <w:r>
        <w:t>bilo je nepravilnosti u postupku, posebno kada su one onemogućavale fer konkurenciju;</w:t>
      </w:r>
    </w:p>
    <w:p w:rsidR="00B644E3" w:rsidRDefault="00A25C94">
      <w:pPr>
        <w:numPr>
          <w:ilvl w:val="0"/>
          <w:numId w:val="18"/>
        </w:numPr>
        <w:spacing w:after="40"/>
        <w:ind w:left="1134" w:hanging="357"/>
      </w:pPr>
      <w:r>
        <w:t>dodjela nije u skladu sa dobrim finansijskim upravljanjem, odnosno ne poštuje principe ekonomičnosti, efikasnosti i efektivnosti (npr. cijena koju je predložio ponuđač kome će se dodijeliti ugovor je objektivno nesrazmjerna u odnosu na cijenu na tržištu.</w:t>
      </w:r>
    </w:p>
    <w:p w:rsidR="00B644E3" w:rsidRDefault="00A25C94">
      <w:r>
        <w:rPr>
          <w:b/>
        </w:rPr>
        <w:t>Ugovarač ni u kom slučaju neće biti odgovoran za bilo kakvu štetu uključujući, bez ograničenja, štetu zbog gubitka dobiti, na bilo koji način u vezi sa poništavanjem tenderske procedure,</w:t>
      </w:r>
      <w:r w:rsidR="00B20EF3">
        <w:rPr>
          <w:b/>
        </w:rPr>
        <w:t xml:space="preserve"> čak i ako je Ugovorni organ</w:t>
      </w:r>
      <w:r>
        <w:rPr>
          <w:b/>
        </w:rPr>
        <w:t xml:space="preserve"> obav</w:t>
      </w:r>
      <w:r w:rsidR="00B20EF3">
        <w:rPr>
          <w:b/>
        </w:rPr>
        <w:t>j</w:t>
      </w:r>
      <w:r>
        <w:rPr>
          <w:b/>
        </w:rPr>
        <w:t>ešten o mogućnosti štete. Objavljivanje obavještenja o ugovoru ne obavezuje Ugovarača da implementira najavljeni program ili projekat.</w:t>
      </w:r>
    </w:p>
    <w:p w:rsidR="00C81BBB" w:rsidRPr="00066EB5" w:rsidRDefault="00A25C94" w:rsidP="00066EB5">
      <w:pPr>
        <w:pStyle w:val="Heading2"/>
        <w:numPr>
          <w:ilvl w:val="0"/>
          <w:numId w:val="13"/>
        </w:numPr>
      </w:pPr>
      <w:bookmarkStart w:id="39" w:name="_Toc189806999"/>
      <w:r>
        <w:t>ETIČKE KLUZULE I KODEKS PONAŠANJA</w:t>
      </w:r>
      <w:bookmarkEnd w:id="39"/>
    </w:p>
    <w:p w:rsidR="00C81BBB" w:rsidRPr="00C81BBB" w:rsidRDefault="00C81BBB" w:rsidP="00C81BBB">
      <w:pPr>
        <w:spacing w:before="240"/>
        <w:ind w:left="720" w:hanging="578"/>
        <w:outlineLvl w:val="2"/>
      </w:pPr>
      <w:r w:rsidRPr="00C81BBB">
        <w:t>28.1</w:t>
      </w:r>
      <w:r w:rsidRPr="00C81BBB">
        <w:tab/>
      </w:r>
      <w:r w:rsidRPr="00C81BBB">
        <w:rPr>
          <w:u w:val="single"/>
        </w:rPr>
        <w:t>Odsustvo sukoba interesa</w:t>
      </w:r>
      <w:r w:rsidRPr="00C81BBB">
        <w:t xml:space="preserve"> </w:t>
      </w:r>
    </w:p>
    <w:p w:rsidR="00C81BBB" w:rsidRPr="00C81BBB" w:rsidRDefault="00FD0E1B" w:rsidP="00C81BBB">
      <w:pPr>
        <w:keepNext/>
        <w:spacing w:before="120"/>
        <w:ind w:left="420"/>
        <w:rPr>
          <w:snapToGrid w:val="0"/>
        </w:rPr>
      </w:pPr>
      <w:r>
        <w:rPr>
          <w:snapToGrid w:val="0"/>
        </w:rPr>
        <w:t>Ponuđač ne smije biti doveden sa</w:t>
      </w:r>
      <w:r w:rsidR="00C81BBB" w:rsidRPr="00C81BBB">
        <w:rPr>
          <w:snapToGrid w:val="0"/>
        </w:rPr>
        <w:t xml:space="preserve"> bilo kakvim sukobom interesa i ne smije imati ekvivalentan odnos u tom pogledu sa drugim ponuđačima ili stranama uključenim u projekat. Svaki pokušaj ponuđača da dobije povjerljive informacije, sklopi nezakonite sporazume sa konkurentima ili utiče na komisiju za ocjenu ili ugovorni organ tokom procesa ispitivanja, pojašnjenja, ocjene i poređenja ponuda će dovesti do odbijanja njegove ponude i može rezultirati administrativnim kaznama u skladu sa Finansijskom uredbom na snazi.</w:t>
      </w:r>
    </w:p>
    <w:p w:rsidR="00C81BBB" w:rsidRPr="00C81BBB" w:rsidRDefault="00C81BBB" w:rsidP="00C81BBB">
      <w:pPr>
        <w:spacing w:before="240"/>
        <w:ind w:left="720" w:hanging="720"/>
        <w:outlineLvl w:val="2"/>
      </w:pPr>
      <w:r w:rsidRPr="00C81BBB">
        <w:t>28.2</w:t>
      </w:r>
      <w:r w:rsidRPr="00C81BBB">
        <w:tab/>
      </w:r>
      <w:r w:rsidRPr="00C81BBB">
        <w:rPr>
          <w:u w:val="single"/>
        </w:rPr>
        <w:t>Poštovanje ljudskih prava, kao i ekološkog zakonodavstva i osnovnih radnih standarda</w:t>
      </w:r>
      <w:r w:rsidRPr="00C81BBB">
        <w:t xml:space="preserve"> </w:t>
      </w:r>
    </w:p>
    <w:p w:rsidR="00C81BBB" w:rsidRPr="00C81BBB" w:rsidRDefault="00C81BBB" w:rsidP="00C81BBB">
      <w:pPr>
        <w:keepNext/>
        <w:spacing w:before="120"/>
        <w:ind w:left="420"/>
        <w:rPr>
          <w:snapToGrid w:val="0"/>
        </w:rPr>
      </w:pPr>
      <w:r w:rsidRPr="00C81BBB">
        <w:rPr>
          <w:snapToGrid w:val="0"/>
        </w:rPr>
        <w:t xml:space="preserve">Ponuđač i njegovo osoblje moraju poštovati ljudska prava. Konkretno </w:t>
      </w:r>
      <w:r w:rsidR="00B20EF3">
        <w:rPr>
          <w:snapToGrid w:val="0"/>
        </w:rPr>
        <w:t xml:space="preserve">i </w:t>
      </w:r>
      <w:r w:rsidRPr="00C81BBB">
        <w:rPr>
          <w:snapToGrid w:val="0"/>
        </w:rPr>
        <w:t xml:space="preserve">u skladu sa važećim osnovnim aktom, ponuđači i podnosioci zahtjeva kojima su dodijeljeni ugovori moraju se pridržavati zakonodavstva o zaštiti okoliša, uključujući multilateralne sporazume o zaštiti okoliša, i osnovnih radnih standarda koji su </w:t>
      </w:r>
      <w:r w:rsidR="00B20EF3">
        <w:rPr>
          <w:snapToGrid w:val="0"/>
        </w:rPr>
        <w:t>primjenjivi i kako je definisano</w:t>
      </w:r>
      <w:r w:rsidRPr="00C81BBB">
        <w:rPr>
          <w:snapToGrid w:val="0"/>
        </w:rPr>
        <w:t xml:space="preserve"> u relevantnim konvencijama Međunarodne organizacije rada (kao što su konvencije o slobodi udruživanja i kolektivnom pregovaranju; ukidanje prisilnog rada i prisilnog rada djece; absorpcija dječijeg rada).</w:t>
      </w:r>
    </w:p>
    <w:p w:rsidR="00C81BBB" w:rsidRPr="00C81BBB" w:rsidRDefault="00C81BBB" w:rsidP="00C81BBB">
      <w:pPr>
        <w:keepNext/>
        <w:pBdr>
          <w:top w:val="single" w:sz="4" w:space="0" w:color="auto"/>
          <w:left w:val="single" w:sz="4" w:space="0" w:color="auto"/>
          <w:bottom w:val="single" w:sz="4" w:space="1" w:color="auto"/>
          <w:right w:val="single" w:sz="4" w:space="4" w:color="auto"/>
        </w:pBdr>
        <w:spacing w:before="120"/>
        <w:ind w:left="420"/>
        <w:rPr>
          <w:b/>
          <w:snapToGrid w:val="0"/>
        </w:rPr>
      </w:pPr>
      <w:r w:rsidRPr="00C81BBB">
        <w:rPr>
          <w:b/>
          <w:snapToGrid w:val="0"/>
        </w:rPr>
        <w:t>Nulta tolerancija na seksualno iskorištavanje i seksualno zlostavljanje:</w:t>
      </w:r>
    </w:p>
    <w:p w:rsidR="00C81BBB" w:rsidRPr="00C81BBB" w:rsidRDefault="00C81BBB" w:rsidP="00C81BBB">
      <w:pPr>
        <w:keepNext/>
        <w:pBdr>
          <w:top w:val="single" w:sz="4" w:space="0" w:color="auto"/>
          <w:left w:val="single" w:sz="4" w:space="0" w:color="auto"/>
          <w:bottom w:val="single" w:sz="4" w:space="1" w:color="auto"/>
          <w:right w:val="single" w:sz="4" w:space="4" w:color="auto"/>
        </w:pBdr>
        <w:spacing w:before="120"/>
        <w:ind w:left="420"/>
        <w:rPr>
          <w:snapToGrid w:val="0"/>
        </w:rPr>
      </w:pPr>
      <w:r w:rsidRPr="00C81BBB">
        <w:rPr>
          <w:snapToGrid w:val="0"/>
        </w:rPr>
        <w:t>Evropska komisija primjenjuje politiku 'nulte tolerancije' u odnosu na sva nezakonita ponašanja koja utiču na profesionalni kredibilitet ponuđača.</w:t>
      </w:r>
    </w:p>
    <w:p w:rsidR="00C81BBB" w:rsidRPr="00C81BBB" w:rsidRDefault="00C81BBB" w:rsidP="00C81BBB">
      <w:pPr>
        <w:keepNext/>
        <w:pBdr>
          <w:top w:val="single" w:sz="4" w:space="0" w:color="auto"/>
          <w:left w:val="single" w:sz="4" w:space="0" w:color="auto"/>
          <w:bottom w:val="single" w:sz="4" w:space="1" w:color="auto"/>
          <w:right w:val="single" w:sz="4" w:space="4" w:color="auto"/>
        </w:pBdr>
        <w:spacing w:before="120"/>
        <w:ind w:left="420"/>
        <w:rPr>
          <w:snapToGrid w:val="0"/>
        </w:rPr>
      </w:pPr>
      <w:r w:rsidRPr="00C81BBB">
        <w:rPr>
          <w:snapToGrid w:val="0"/>
        </w:rPr>
        <w:t>Zabranjeno je fizičko zlostavljanje ili kažnjavanje, odnosno prijetnje fizičkim zlostavljanjem, seksualnim zlostavljanjem ili eksploatacijom, uznemiravanje i verbalno zlostavljanje, kao i drugi oblici zastrašivanja.</w:t>
      </w:r>
    </w:p>
    <w:p w:rsidR="00C81BBB" w:rsidRPr="00C81BBB" w:rsidRDefault="00C81BBB" w:rsidP="00C81BBB">
      <w:pPr>
        <w:spacing w:before="240"/>
        <w:ind w:left="0"/>
        <w:outlineLvl w:val="2"/>
      </w:pPr>
      <w:r w:rsidRPr="00C81BBB">
        <w:t>28.3</w:t>
      </w:r>
      <w:r w:rsidRPr="00C81BBB">
        <w:tab/>
      </w:r>
      <w:r w:rsidRPr="00C81BBB">
        <w:rPr>
          <w:u w:val="single"/>
        </w:rPr>
        <w:t>Borba protiv korupcije i mita</w:t>
      </w:r>
      <w:r w:rsidRPr="00C81BBB">
        <w:t xml:space="preserve"> </w:t>
      </w:r>
    </w:p>
    <w:p w:rsidR="00C81BBB" w:rsidRPr="00C81BBB" w:rsidRDefault="00C81BBB" w:rsidP="00C81BBB">
      <w:pPr>
        <w:ind w:left="420"/>
        <w:rPr>
          <w:snapToGrid w:val="0"/>
        </w:rPr>
      </w:pPr>
      <w:r w:rsidRPr="00C81BBB">
        <w:rPr>
          <w:snapToGrid w:val="0"/>
        </w:rPr>
        <w:t>Ponuđač će se pridržavati svih važećih zakona i propisa i kodeksa koji se odnose na borbu protiv mita i korupcije. Evropska komisija zadržava pravo da obustavi ili otkaže finansiranje projekta ako se u bilo kojoj fazi procesa dodjele ili tokom izvršenja ugovora otkriju koruptivne prakse bilo koje vrste i ako naručilac ne preduzme sve odgovarajuće mjere da popravi situaciju. U smislu ove odredbe, 'koruptivna djela' su ponuda mita, poklona, ​​napojnice ili provizije bilo kojoj osobi kao poticaj ili nagrada za izvršenje ili uzdržavanje od bilo koje radnje u vezi s dodjelom ugovora ili izvršenjem ugovora koji je već zaključen sa naručiocem.</w:t>
      </w:r>
    </w:p>
    <w:p w:rsidR="00C81BBB" w:rsidRPr="00C81BBB" w:rsidRDefault="00C81BBB" w:rsidP="00C81BBB">
      <w:pPr>
        <w:spacing w:before="240"/>
        <w:ind w:left="142"/>
        <w:outlineLvl w:val="2"/>
      </w:pPr>
      <w:r w:rsidRPr="00C81BBB">
        <w:t>28.4</w:t>
      </w:r>
      <w:r w:rsidRPr="00C81BBB">
        <w:tab/>
      </w:r>
      <w:r w:rsidRPr="00C81BBB">
        <w:rPr>
          <w:u w:val="single"/>
        </w:rPr>
        <w:t>Neuobičajeni komercijalni troškovi</w:t>
      </w:r>
      <w:r w:rsidRPr="00C81BBB">
        <w:t xml:space="preserve"> </w:t>
      </w:r>
    </w:p>
    <w:p w:rsidR="00C81BBB" w:rsidRPr="00C81BBB" w:rsidRDefault="00C81BBB" w:rsidP="00C81BBB">
      <w:pPr>
        <w:spacing w:before="120"/>
        <w:ind w:left="397"/>
        <w:rPr>
          <w:snapToGrid w:val="0"/>
        </w:rPr>
      </w:pPr>
      <w:r w:rsidRPr="00C81BBB">
        <w:rPr>
          <w:snapToGrid w:val="0"/>
        </w:rPr>
        <w:t xml:space="preserve">Tenderi će biti odbijeni ili ugovori raskinuti ako se ispostavi da je dodjela ili izvršenje ugovora dovelo do neuobičajenih komercijalnih troškova. Takvi neuobičajeni komercijalni troškovi su provizije koje </w:t>
      </w:r>
      <w:r w:rsidRPr="00C81BBB">
        <w:rPr>
          <w:snapToGrid w:val="0"/>
        </w:rPr>
        <w:lastRenderedPageBreak/>
        <w:t>nisu navedene u glavnom ugovoru ili ne proizlaze iz pravilno zaključenog ugovora koji se odnosi na glavni ugovor, provizije koje nisu plaćene u zamjenu za bilo koju stvarnu i legitimnu uslugu, provizije doznačene u porezni raj, provizije plaćene primaocu plaćanja koji nije jasno identificiran</w:t>
      </w:r>
      <w:r w:rsidR="00B20EF3">
        <w:rPr>
          <w:snapToGrid w:val="0"/>
        </w:rPr>
        <w:t xml:space="preserve"> ili provizije plaćene preduzeću koje izgleda kao lažno preduzeće</w:t>
      </w:r>
      <w:r w:rsidRPr="00C81BBB">
        <w:rPr>
          <w:snapToGrid w:val="0"/>
        </w:rPr>
        <w:t>.</w:t>
      </w:r>
    </w:p>
    <w:p w:rsidR="00C81BBB" w:rsidRPr="00C81BBB" w:rsidRDefault="00C81BBB" w:rsidP="00C81BBB">
      <w:pPr>
        <w:spacing w:before="120"/>
        <w:ind w:left="397"/>
        <w:rPr>
          <w:snapToGrid w:val="0"/>
        </w:rPr>
      </w:pPr>
      <w:r w:rsidRPr="00C81BBB">
        <w:rPr>
          <w:snapToGrid w:val="0"/>
        </w:rPr>
        <w:t>Izvođači za koje se utvrdi da su platili neuobičajene komercijalne troškove na projektima finansiranim od st</w:t>
      </w:r>
      <w:r w:rsidR="00B20EF3">
        <w:rPr>
          <w:snapToGrid w:val="0"/>
        </w:rPr>
        <w:t>rane Europske unije dužni su, zavi</w:t>
      </w:r>
      <w:r w:rsidRPr="00C81BBB">
        <w:rPr>
          <w:snapToGrid w:val="0"/>
        </w:rPr>
        <w:t>sno o ozbiljnosti uočenih činjenica, raskinuti ugovore ili biti trajno isključeni iz primanja sredstava EU.</w:t>
      </w:r>
    </w:p>
    <w:p w:rsidR="00C81BBB" w:rsidRPr="00C81BBB" w:rsidRDefault="00C81BBB" w:rsidP="00C81BBB">
      <w:pPr>
        <w:spacing w:before="240"/>
        <w:ind w:left="720" w:hanging="578"/>
        <w:outlineLvl w:val="2"/>
      </w:pPr>
      <w:r w:rsidRPr="00C81BBB">
        <w:t>28.5</w:t>
      </w:r>
      <w:r w:rsidRPr="00C81BBB">
        <w:tab/>
      </w:r>
      <w:r w:rsidRPr="00C81BBB">
        <w:rPr>
          <w:u w:val="single"/>
        </w:rPr>
        <w:t>Kršenje obaveza, nepravilnosti ili prevara</w:t>
      </w:r>
    </w:p>
    <w:p w:rsidR="00C81BBB" w:rsidRPr="00C81BBB" w:rsidRDefault="00C81BBB" w:rsidP="00C81BBB">
      <w:pPr>
        <w:spacing w:before="120"/>
        <w:ind w:left="397"/>
        <w:rPr>
          <w:snapToGrid w:val="0"/>
        </w:rPr>
      </w:pPr>
      <w:r w:rsidRPr="00C81BBB">
        <w:rPr>
          <w:snapToGrid w:val="0"/>
        </w:rPr>
        <w:t>Naručilac zadržava pravo da obustavi ili poništi postupak, ako se pokaže da je postupak dodjele bio predmet kršenja</w:t>
      </w:r>
      <w:r w:rsidR="00B20EF3">
        <w:rPr>
          <w:snapToGrid w:val="0"/>
        </w:rPr>
        <w:t xml:space="preserve"> obaveza, nepravilnosti ili pr</w:t>
      </w:r>
      <w:r w:rsidRPr="00C81BBB">
        <w:rPr>
          <w:snapToGrid w:val="0"/>
        </w:rPr>
        <w:t>evare. Ako se nakon dodjele ugovora otkriju kršenje obaveza, nepravilnosti ili prevara, naručilac se može uzdržati od zaključivanja ugovora.</w:t>
      </w:r>
    </w:p>
    <w:p w:rsidR="00B644E3" w:rsidRDefault="00A25C94" w:rsidP="00C81BBB">
      <w:pPr>
        <w:pStyle w:val="Heading2"/>
        <w:numPr>
          <w:ilvl w:val="0"/>
          <w:numId w:val="13"/>
        </w:numPr>
      </w:pPr>
      <w:bookmarkStart w:id="40" w:name="_Toc189807000"/>
      <w:r>
        <w:t>ŽALBE</w:t>
      </w:r>
      <w:bookmarkEnd w:id="40"/>
    </w:p>
    <w:p w:rsidR="00B644E3" w:rsidRDefault="00A25C94">
      <w:r>
        <w:t>Ponuđači koji vjeruju da su oštećeni greškom ili nepravilnošću tokom procesa dodjele mogu podnijeti žalbu. Žal</w:t>
      </w:r>
      <w:r w:rsidR="007066D2">
        <w:t>be se šalju ugovornom organu</w:t>
      </w:r>
      <w:r>
        <w:t>, na adresu navedenu u ovom tenderskom dosijeu.</w:t>
      </w:r>
    </w:p>
    <w:p w:rsidR="00B644E3" w:rsidRDefault="00B644E3" w:rsidP="0060713F">
      <w:pPr>
        <w:ind w:left="0"/>
      </w:pPr>
    </w:p>
    <w:p w:rsidR="00B644E3" w:rsidRDefault="00B644E3">
      <w:pPr>
        <w:spacing w:before="600"/>
        <w:jc w:val="center"/>
      </w:pPr>
      <w:bookmarkStart w:id="41" w:name="_3fwokq0" w:colFirst="0" w:colLast="0"/>
      <w:bookmarkEnd w:id="41"/>
    </w:p>
    <w:sectPr w:rsidR="00B644E3">
      <w:type w:val="continuous"/>
      <w:pgSz w:w="11907" w:h="16840"/>
      <w:pgMar w:top="1298" w:right="1298" w:bottom="1077" w:left="129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E7C" w:rsidRDefault="00AD3E7C">
      <w:pPr>
        <w:spacing w:after="0"/>
      </w:pPr>
      <w:r>
        <w:separator/>
      </w:r>
    </w:p>
  </w:endnote>
  <w:endnote w:type="continuationSeparator" w:id="0">
    <w:p w:rsidR="00AD3E7C" w:rsidRDefault="00AD3E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038" w:rsidRDefault="00BD3038">
    <w:pPr>
      <w:pBdr>
        <w:top w:val="nil"/>
        <w:left w:val="nil"/>
        <w:bottom w:val="nil"/>
        <w:right w:val="nil"/>
        <w:between w:val="nil"/>
      </w:pBdr>
      <w:tabs>
        <w:tab w:val="center" w:pos="4320"/>
        <w:tab w:val="right" w:pos="8640"/>
      </w:tabs>
      <w:ind w:hanging="567"/>
      <w:jc w:val="right"/>
      <w:rPr>
        <w:color w:val="000000"/>
      </w:rPr>
    </w:pPr>
    <w:r>
      <w:rPr>
        <w:color w:val="000000"/>
      </w:rPr>
      <w:fldChar w:fldCharType="begin"/>
    </w:r>
    <w:r>
      <w:rPr>
        <w:color w:val="000000"/>
      </w:rPr>
      <w:instrText>PAGE</w:instrText>
    </w:r>
    <w:r>
      <w:rPr>
        <w:color w:val="000000"/>
      </w:rPr>
      <w:fldChar w:fldCharType="end"/>
    </w:r>
  </w:p>
  <w:p w:rsidR="00BD3038" w:rsidRDefault="00BD3038">
    <w:pPr>
      <w:pBdr>
        <w:top w:val="nil"/>
        <w:left w:val="nil"/>
        <w:bottom w:val="nil"/>
        <w:right w:val="nil"/>
        <w:between w:val="nil"/>
      </w:pBdr>
      <w:tabs>
        <w:tab w:val="center" w:pos="4320"/>
        <w:tab w:val="right" w:pos="8640"/>
      </w:tabs>
      <w:ind w:right="360" w:hanging="567"/>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038" w:rsidRDefault="00BD3038" w:rsidP="00A25C94">
    <w:pPr>
      <w:pBdr>
        <w:top w:val="nil"/>
        <w:left w:val="nil"/>
        <w:bottom w:val="nil"/>
        <w:right w:val="nil"/>
        <w:between w:val="nil"/>
      </w:pBdr>
      <w:tabs>
        <w:tab w:val="right" w:pos="9214"/>
      </w:tabs>
      <w:spacing w:after="0"/>
      <w:ind w:left="0" w:right="5" w:hanging="567"/>
      <w:jc w:val="right"/>
      <w:rPr>
        <w:color w:val="000000"/>
        <w:sz w:val="18"/>
        <w:szCs w:val="18"/>
      </w:rPr>
    </w:pPr>
    <w:r>
      <w:rPr>
        <w:color w:val="000000"/>
        <w:sz w:val="18"/>
        <w:szCs w:val="18"/>
      </w:rPr>
      <w:tab/>
      <w:t>Stranica</w:t>
    </w:r>
    <w:r>
      <w:rPr>
        <w:color w:val="000000"/>
        <w:sz w:val="18"/>
        <w:szCs w:val="18"/>
      </w:rPr>
      <w:fldChar w:fldCharType="begin"/>
    </w:r>
    <w:r>
      <w:rPr>
        <w:color w:val="000000"/>
        <w:sz w:val="18"/>
        <w:szCs w:val="18"/>
      </w:rPr>
      <w:instrText>PAGE</w:instrText>
    </w:r>
    <w:r>
      <w:rPr>
        <w:color w:val="000000"/>
        <w:sz w:val="18"/>
        <w:szCs w:val="18"/>
      </w:rPr>
      <w:fldChar w:fldCharType="separate"/>
    </w:r>
    <w:r w:rsidR="00C15CF5">
      <w:rPr>
        <w:noProof/>
        <w:color w:val="000000"/>
        <w:sz w:val="18"/>
        <w:szCs w:val="18"/>
      </w:rPr>
      <w:t>2</w:t>
    </w:r>
    <w:r>
      <w:rPr>
        <w:color w:val="000000"/>
        <w:sz w:val="18"/>
        <w:szCs w:val="18"/>
      </w:rPr>
      <w:fldChar w:fldCharType="end"/>
    </w:r>
    <w:r>
      <w:rPr>
        <w:color w:val="000000"/>
        <w:sz w:val="18"/>
        <w:szCs w:val="18"/>
      </w:rPr>
      <w:t>of</w:t>
    </w:r>
    <w:r>
      <w:rPr>
        <w:color w:val="000000"/>
        <w:sz w:val="18"/>
        <w:szCs w:val="18"/>
      </w:rPr>
      <w:fldChar w:fldCharType="begin"/>
    </w:r>
    <w:r>
      <w:rPr>
        <w:color w:val="000000"/>
        <w:sz w:val="18"/>
        <w:szCs w:val="18"/>
      </w:rPr>
      <w:instrText>NUMPAGES</w:instrText>
    </w:r>
    <w:r>
      <w:rPr>
        <w:color w:val="000000"/>
        <w:sz w:val="18"/>
        <w:szCs w:val="18"/>
      </w:rPr>
      <w:fldChar w:fldCharType="separate"/>
    </w:r>
    <w:r w:rsidR="00C15CF5">
      <w:rPr>
        <w:noProof/>
        <w:color w:val="000000"/>
        <w:sz w:val="18"/>
        <w:szCs w:val="18"/>
      </w:rPr>
      <w:t>13</w:t>
    </w:r>
    <w:r>
      <w:rPr>
        <w:color w:val="000000"/>
        <w:sz w:val="18"/>
        <w:szCs w:val="18"/>
      </w:rPr>
      <w:fldChar w:fldCharType="end"/>
    </w:r>
  </w:p>
  <w:p w:rsidR="00BD3038" w:rsidRDefault="00BD3038">
    <w:pPr>
      <w:spacing w:after="0"/>
      <w:ind w:left="0"/>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038" w:rsidRDefault="00BD3038" w:rsidP="00A25C94">
    <w:pPr>
      <w:pBdr>
        <w:top w:val="nil"/>
        <w:left w:val="nil"/>
        <w:bottom w:val="nil"/>
        <w:right w:val="nil"/>
        <w:between w:val="nil"/>
      </w:pBdr>
      <w:tabs>
        <w:tab w:val="right" w:pos="9214"/>
      </w:tabs>
      <w:spacing w:after="0"/>
      <w:ind w:right="5" w:hanging="567"/>
      <w:jc w:val="right"/>
      <w:rPr>
        <w:color w:val="000000"/>
        <w:sz w:val="18"/>
        <w:szCs w:val="18"/>
      </w:rPr>
    </w:pPr>
    <w:r>
      <w:rPr>
        <w:color w:val="000000"/>
        <w:sz w:val="18"/>
        <w:szCs w:val="18"/>
      </w:rPr>
      <w:tab/>
      <w:t>Stranica</w:t>
    </w:r>
    <w:r>
      <w:rPr>
        <w:color w:val="000000"/>
        <w:sz w:val="18"/>
        <w:szCs w:val="18"/>
      </w:rPr>
      <w:fldChar w:fldCharType="begin"/>
    </w:r>
    <w:r>
      <w:rPr>
        <w:color w:val="000000"/>
        <w:sz w:val="18"/>
        <w:szCs w:val="18"/>
      </w:rPr>
      <w:instrText>PAGE</w:instrText>
    </w:r>
    <w:r>
      <w:rPr>
        <w:color w:val="000000"/>
        <w:sz w:val="18"/>
        <w:szCs w:val="18"/>
      </w:rPr>
      <w:fldChar w:fldCharType="separate"/>
    </w:r>
    <w:r w:rsidR="00C15CF5">
      <w:rPr>
        <w:noProof/>
        <w:color w:val="000000"/>
        <w:sz w:val="18"/>
        <w:szCs w:val="18"/>
      </w:rPr>
      <w:t>1</w:t>
    </w:r>
    <w:r>
      <w:rPr>
        <w:color w:val="000000"/>
        <w:sz w:val="18"/>
        <w:szCs w:val="18"/>
      </w:rPr>
      <w:fldChar w:fldCharType="end"/>
    </w:r>
    <w:r>
      <w:rPr>
        <w:color w:val="000000"/>
        <w:sz w:val="18"/>
        <w:szCs w:val="18"/>
      </w:rPr>
      <w:t>of</w:t>
    </w:r>
    <w:r>
      <w:rPr>
        <w:color w:val="000000"/>
        <w:sz w:val="18"/>
        <w:szCs w:val="18"/>
      </w:rPr>
      <w:fldChar w:fldCharType="begin"/>
    </w:r>
    <w:r>
      <w:rPr>
        <w:color w:val="000000"/>
        <w:sz w:val="18"/>
        <w:szCs w:val="18"/>
      </w:rPr>
      <w:instrText>NUMPAGES</w:instrText>
    </w:r>
    <w:r>
      <w:rPr>
        <w:color w:val="000000"/>
        <w:sz w:val="18"/>
        <w:szCs w:val="18"/>
      </w:rPr>
      <w:fldChar w:fldCharType="separate"/>
    </w:r>
    <w:r w:rsidR="00C15CF5">
      <w:rPr>
        <w:noProof/>
        <w:color w:val="000000"/>
        <w:sz w:val="18"/>
        <w:szCs w:val="18"/>
      </w:rPr>
      <w:t>13</w:t>
    </w:r>
    <w:r>
      <w:rPr>
        <w:color w:val="000000"/>
        <w:sz w:val="18"/>
        <w:szCs w:val="18"/>
      </w:rPr>
      <w:fldChar w:fldCharType="end"/>
    </w:r>
  </w:p>
  <w:p w:rsidR="00BD3038" w:rsidRDefault="00BD3038">
    <w:pPr>
      <w:spacing w:after="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E7C" w:rsidRDefault="00AD3E7C">
      <w:pPr>
        <w:spacing w:after="0"/>
      </w:pPr>
      <w:r>
        <w:separator/>
      </w:r>
    </w:p>
  </w:footnote>
  <w:footnote w:type="continuationSeparator" w:id="0">
    <w:p w:rsidR="00AD3E7C" w:rsidRDefault="00AD3E7C">
      <w:pPr>
        <w:spacing w:after="0"/>
      </w:pPr>
      <w:r>
        <w:continuationSeparator/>
      </w:r>
    </w:p>
  </w:footnote>
  <w:footnote w:id="1">
    <w:p w:rsidR="00BD3038" w:rsidRDefault="00BD3038">
      <w:pPr>
        <w:pBdr>
          <w:top w:val="nil"/>
          <w:left w:val="nil"/>
          <w:bottom w:val="nil"/>
          <w:right w:val="nil"/>
          <w:between w:val="nil"/>
        </w:pBdr>
        <w:tabs>
          <w:tab w:val="left" w:pos="284"/>
        </w:tabs>
        <w:ind w:left="284" w:hanging="284"/>
        <w:rPr>
          <w:color w:val="000000"/>
          <w:sz w:val="20"/>
          <w:szCs w:val="20"/>
        </w:rPr>
      </w:pPr>
      <w:r>
        <w:rPr>
          <w:vertAlign w:val="superscript"/>
        </w:rPr>
        <w:footnoteRef/>
      </w:r>
      <w:r>
        <w:rPr>
          <w:color w:val="000000"/>
          <w:sz w:val="20"/>
          <w:szCs w:val="20"/>
        </w:rPr>
        <w:t xml:space="preserve"> </w:t>
      </w:r>
      <w:r>
        <w:rPr>
          <w:color w:val="000000"/>
          <w:sz w:val="20"/>
          <w:szCs w:val="20"/>
        </w:rPr>
        <w:tab/>
        <w:t>Ukoliko tender uključuje podugovaranje, preporučuje se da ugovorni aranžmani između ponuđača i njegovih podizvođača uključuju posredovanje, prema domaćoj i međunarodnoj praksi, kao metodu rješavanja sporova.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038" w:rsidRPr="0028627E" w:rsidRDefault="00BD3038" w:rsidP="0028627E">
    <w:pPr>
      <w:pBdr>
        <w:top w:val="nil"/>
        <w:left w:val="nil"/>
        <w:bottom w:val="nil"/>
        <w:right w:val="nil"/>
        <w:between w:val="nil"/>
      </w:pBdr>
      <w:tabs>
        <w:tab w:val="center" w:pos="4536"/>
        <w:tab w:val="right" w:pos="9072"/>
      </w:tabs>
      <w:ind w:right="360" w:hanging="567"/>
      <w:rPr>
        <w:rFonts w:ascii="Arial" w:eastAsia="Arial" w:hAnsi="Arial" w:cs="Arial"/>
        <w:b/>
        <w:bCs/>
        <w:color w:val="000000"/>
        <w:sz w:val="20"/>
        <w:szCs w:val="20"/>
      </w:rPr>
    </w:pPr>
    <w:r w:rsidRPr="00B915F4">
      <w:rPr>
        <w:b/>
        <w:bCs/>
        <w:noProof/>
        <w:color w:val="000000"/>
        <w:sz w:val="20"/>
        <w:szCs w:val="20"/>
        <w:lang w:eastAsia="en-GB"/>
      </w:rPr>
      <w:drawing>
        <wp:inline distT="0" distB="0" distL="0" distR="0" wp14:anchorId="6415F910" wp14:editId="3A00D10D">
          <wp:extent cx="2543832" cy="1085850"/>
          <wp:effectExtent l="0" t="0" r="8890" b="0"/>
          <wp:docPr id="1" name="Picture 1" descr="E:\1 GIFTSnet\KOMUNIKACIJA\GIFTSnet - b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 GIFTSnet\KOMUNIKACIJA\GIFTSnet - boj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5966" cy="109529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3052999"/>
    <w:multiLevelType w:val="multilevel"/>
    <w:tmpl w:val="06FAF476"/>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2" w15:restartNumberingAfterBreak="0">
    <w:nsid w:val="2B3D0802"/>
    <w:multiLevelType w:val="multilevel"/>
    <w:tmpl w:val="C2F6D3C4"/>
    <w:lvl w:ilvl="0">
      <w:start w:val="2"/>
      <w:numFmt w:val="bullet"/>
      <w:lvlText w:val="-"/>
      <w:lvlJc w:val="left"/>
      <w:pPr>
        <w:ind w:left="720" w:hanging="360"/>
      </w:pPr>
      <w:rPr>
        <w:rFonts w:ascii="Arial Narrow" w:eastAsia="Arial Narrow" w:hAnsi="Arial Narrow" w:cs="Arial Narrow"/>
        <w:sz w:val="22"/>
        <w:szCs w:val="22"/>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BD83F61"/>
    <w:multiLevelType w:val="multilevel"/>
    <w:tmpl w:val="463AAE20"/>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4" w15:restartNumberingAfterBreak="0">
    <w:nsid w:val="39525133"/>
    <w:multiLevelType w:val="multilevel"/>
    <w:tmpl w:val="B5CCCA46"/>
    <w:lvl w:ilvl="0">
      <w:start w:val="1"/>
      <w:numFmt w:val="decimal"/>
      <w:lvlText w:val="%1."/>
      <w:lvlJc w:val="left"/>
      <w:pPr>
        <w:ind w:left="567" w:hanging="567"/>
      </w:pPr>
      <w:rPr>
        <w:rFonts w:ascii="Times New Roman" w:eastAsia="Times New Roman" w:hAnsi="Times New Roman" w:cs="Times New Roman"/>
        <w:smallCaps w:val="0"/>
        <w:strike w:val="0"/>
        <w:color w:val="000000"/>
        <w:u w:val="none"/>
        <w:vertAlign w:val="baseline"/>
      </w:rPr>
    </w:lvl>
    <w:lvl w:ilvl="1">
      <w:start w:val="1"/>
      <w:numFmt w:val="decimal"/>
      <w:lvlText w:val="%1.%2."/>
      <w:lvlJc w:val="left"/>
      <w:pPr>
        <w:ind w:left="851" w:hanging="567"/>
      </w:pPr>
      <w:rPr>
        <w:b w:val="0"/>
        <w:vertAlign w:val="baseline"/>
      </w:rPr>
    </w:lvl>
    <w:lvl w:ilvl="2">
      <w:start w:val="1"/>
      <w:numFmt w:val="decimal"/>
      <w:lvlText w:val="%1.%2.%3."/>
      <w:lvlJc w:val="left"/>
      <w:pPr>
        <w:ind w:left="1986" w:hanging="851"/>
      </w:pPr>
      <w:rPr>
        <w:vertAlign w:val="baseline"/>
      </w:rPr>
    </w:lvl>
    <w:lvl w:ilvl="3">
      <w:start w:val="1"/>
      <w:numFmt w:val="decimal"/>
      <w:lvlText w:val="%1.%2.%3.%4."/>
      <w:lvlJc w:val="left"/>
      <w:pPr>
        <w:ind w:left="2835" w:hanging="850"/>
      </w:pPr>
      <w:rPr>
        <w:vertAlign w:val="baseline"/>
      </w:rPr>
    </w:lvl>
    <w:lvl w:ilvl="4">
      <w:start w:val="1"/>
      <w:numFmt w:val="decimal"/>
      <w:lvlText w:val="%1.%2.%3.%4.%5."/>
      <w:lvlJc w:val="left"/>
      <w:pPr>
        <w:ind w:left="3420" w:hanging="1080"/>
      </w:pPr>
      <w:rPr>
        <w:vertAlign w:val="baseline"/>
      </w:rPr>
    </w:lvl>
    <w:lvl w:ilvl="5">
      <w:start w:val="1"/>
      <w:numFmt w:val="decimal"/>
      <w:lvlText w:val="%1.%2.%3.%4.%5.%6."/>
      <w:lvlJc w:val="left"/>
      <w:pPr>
        <w:ind w:left="3915" w:hanging="1080"/>
      </w:pPr>
      <w:rPr>
        <w:vertAlign w:val="baseline"/>
      </w:rPr>
    </w:lvl>
    <w:lvl w:ilvl="6">
      <w:start w:val="1"/>
      <w:numFmt w:val="decimal"/>
      <w:lvlText w:val="%1.%2.%3.%4.%5.%6.%7."/>
      <w:lvlJc w:val="left"/>
      <w:pPr>
        <w:ind w:left="4770" w:hanging="1440"/>
      </w:pPr>
      <w:rPr>
        <w:vertAlign w:val="baseline"/>
      </w:rPr>
    </w:lvl>
    <w:lvl w:ilvl="7">
      <w:start w:val="1"/>
      <w:numFmt w:val="decimal"/>
      <w:lvlText w:val="%1.%2.%3.%4.%5.%6.%7.%8."/>
      <w:lvlJc w:val="left"/>
      <w:pPr>
        <w:ind w:left="5265" w:hanging="1440"/>
      </w:pPr>
      <w:rPr>
        <w:vertAlign w:val="baseline"/>
      </w:rPr>
    </w:lvl>
    <w:lvl w:ilvl="8">
      <w:start w:val="1"/>
      <w:numFmt w:val="decimal"/>
      <w:lvlText w:val="%1.%2.%3.%4.%5.%6.%7.%8.%9."/>
      <w:lvlJc w:val="left"/>
      <w:pPr>
        <w:ind w:left="6120" w:hanging="1800"/>
      </w:pPr>
      <w:rPr>
        <w:vertAlign w:val="baseline"/>
      </w:rPr>
    </w:lvl>
  </w:abstractNum>
  <w:abstractNum w:abstractNumId="5" w15:restartNumberingAfterBreak="0">
    <w:nsid w:val="4126237E"/>
    <w:multiLevelType w:val="multilevel"/>
    <w:tmpl w:val="A2AC0E2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43EE4A8D"/>
    <w:multiLevelType w:val="multilevel"/>
    <w:tmpl w:val="93E649BE"/>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7" w15:restartNumberingAfterBreak="0">
    <w:nsid w:val="46183DC1"/>
    <w:multiLevelType w:val="multilevel"/>
    <w:tmpl w:val="A832364A"/>
    <w:lvl w:ilvl="0">
      <w:start w:val="1"/>
      <w:numFmt w:val="lowerLetter"/>
      <w:lvlText w:val="(%1)"/>
      <w:lvlJc w:val="left"/>
      <w:pPr>
        <w:ind w:left="1287" w:hanging="360"/>
      </w:pPr>
      <w:rPr>
        <w:rFonts w:ascii="Times New Roman" w:eastAsia="Times New Roman" w:hAnsi="Times New Roman" w:cs="Times New Roman"/>
        <w:b w:val="0"/>
        <w:i w:val="0"/>
        <w:sz w:val="22"/>
        <w:szCs w:val="22"/>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8" w15:restartNumberingAfterBreak="0">
    <w:nsid w:val="4CA23927"/>
    <w:multiLevelType w:val="multilevel"/>
    <w:tmpl w:val="89F4EF3C"/>
    <w:lvl w:ilvl="0">
      <w:start w:val="1"/>
      <w:numFmt w:val="bullet"/>
      <w:lvlText w:val="−"/>
      <w:lvlJc w:val="left"/>
      <w:pPr>
        <w:ind w:left="1287" w:hanging="360"/>
      </w:pPr>
      <w:rPr>
        <w:rFonts w:ascii="Noto Sans Symbols" w:eastAsia="Noto Sans Symbols" w:hAnsi="Noto Sans Symbols" w:cs="Noto Sans Symbols"/>
        <w:vertAlign w:val="baseline"/>
      </w:rPr>
    </w:lvl>
    <w:lvl w:ilvl="1">
      <w:numFmt w:val="bullet"/>
      <w:lvlText w:val="-"/>
      <w:lvlJc w:val="left"/>
      <w:pPr>
        <w:ind w:left="2007" w:hanging="360"/>
      </w:pPr>
      <w:rPr>
        <w:rFonts w:ascii="Times New Roman" w:eastAsia="Times New Roman" w:hAnsi="Times New Roman" w:cs="Times New Roman"/>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9" w15:restartNumberingAfterBreak="0">
    <w:nsid w:val="500E0221"/>
    <w:multiLevelType w:val="multilevel"/>
    <w:tmpl w:val="96000B7A"/>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10" w15:restartNumberingAfterBreak="0">
    <w:nsid w:val="5E0A689C"/>
    <w:multiLevelType w:val="multilevel"/>
    <w:tmpl w:val="03E47B04"/>
    <w:lvl w:ilvl="0">
      <w:start w:val="1"/>
      <w:numFmt w:val="bullet"/>
      <w:lvlText w:val="●"/>
      <w:lvlJc w:val="left"/>
      <w:pPr>
        <w:ind w:left="1854" w:hanging="360"/>
      </w:pPr>
      <w:rPr>
        <w:rFonts w:ascii="Noto Sans Symbols" w:eastAsia="Noto Sans Symbols" w:hAnsi="Noto Sans Symbols" w:cs="Noto Sans Symbols"/>
        <w:vertAlign w:val="baseline"/>
      </w:rPr>
    </w:lvl>
    <w:lvl w:ilvl="1">
      <w:start w:val="1"/>
      <w:numFmt w:val="bullet"/>
      <w:lvlText w:val="o"/>
      <w:lvlJc w:val="left"/>
      <w:pPr>
        <w:ind w:left="2574" w:hanging="360"/>
      </w:pPr>
      <w:rPr>
        <w:rFonts w:ascii="Courier New" w:eastAsia="Courier New" w:hAnsi="Courier New" w:cs="Courier New"/>
        <w:vertAlign w:val="baseline"/>
      </w:rPr>
    </w:lvl>
    <w:lvl w:ilvl="2">
      <w:start w:val="1"/>
      <w:numFmt w:val="bullet"/>
      <w:lvlText w:val="▪"/>
      <w:lvlJc w:val="left"/>
      <w:pPr>
        <w:ind w:left="3294" w:hanging="360"/>
      </w:pPr>
      <w:rPr>
        <w:rFonts w:ascii="Noto Sans Symbols" w:eastAsia="Noto Sans Symbols" w:hAnsi="Noto Sans Symbols" w:cs="Noto Sans Symbols"/>
        <w:vertAlign w:val="baseline"/>
      </w:rPr>
    </w:lvl>
    <w:lvl w:ilvl="3">
      <w:start w:val="1"/>
      <w:numFmt w:val="bullet"/>
      <w:lvlText w:val="●"/>
      <w:lvlJc w:val="left"/>
      <w:pPr>
        <w:ind w:left="4014" w:hanging="360"/>
      </w:pPr>
      <w:rPr>
        <w:rFonts w:ascii="Noto Sans Symbols" w:eastAsia="Noto Sans Symbols" w:hAnsi="Noto Sans Symbols" w:cs="Noto Sans Symbols"/>
        <w:vertAlign w:val="baseline"/>
      </w:rPr>
    </w:lvl>
    <w:lvl w:ilvl="4">
      <w:start w:val="1"/>
      <w:numFmt w:val="bullet"/>
      <w:lvlText w:val="o"/>
      <w:lvlJc w:val="left"/>
      <w:pPr>
        <w:ind w:left="4734" w:hanging="360"/>
      </w:pPr>
      <w:rPr>
        <w:rFonts w:ascii="Courier New" w:eastAsia="Courier New" w:hAnsi="Courier New" w:cs="Courier New"/>
        <w:vertAlign w:val="baseline"/>
      </w:rPr>
    </w:lvl>
    <w:lvl w:ilvl="5">
      <w:start w:val="1"/>
      <w:numFmt w:val="bullet"/>
      <w:lvlText w:val="▪"/>
      <w:lvlJc w:val="left"/>
      <w:pPr>
        <w:ind w:left="5454" w:hanging="360"/>
      </w:pPr>
      <w:rPr>
        <w:rFonts w:ascii="Noto Sans Symbols" w:eastAsia="Noto Sans Symbols" w:hAnsi="Noto Sans Symbols" w:cs="Noto Sans Symbols"/>
        <w:vertAlign w:val="baseline"/>
      </w:rPr>
    </w:lvl>
    <w:lvl w:ilvl="6">
      <w:start w:val="1"/>
      <w:numFmt w:val="bullet"/>
      <w:lvlText w:val="●"/>
      <w:lvlJc w:val="left"/>
      <w:pPr>
        <w:ind w:left="6174" w:hanging="360"/>
      </w:pPr>
      <w:rPr>
        <w:rFonts w:ascii="Noto Sans Symbols" w:eastAsia="Noto Sans Symbols" w:hAnsi="Noto Sans Symbols" w:cs="Noto Sans Symbols"/>
        <w:vertAlign w:val="baseline"/>
      </w:rPr>
    </w:lvl>
    <w:lvl w:ilvl="7">
      <w:start w:val="1"/>
      <w:numFmt w:val="bullet"/>
      <w:lvlText w:val="o"/>
      <w:lvlJc w:val="left"/>
      <w:pPr>
        <w:ind w:left="6894" w:hanging="360"/>
      </w:pPr>
      <w:rPr>
        <w:rFonts w:ascii="Courier New" w:eastAsia="Courier New" w:hAnsi="Courier New" w:cs="Courier New"/>
        <w:vertAlign w:val="baseline"/>
      </w:rPr>
    </w:lvl>
    <w:lvl w:ilvl="8">
      <w:start w:val="1"/>
      <w:numFmt w:val="bullet"/>
      <w:lvlText w:val="▪"/>
      <w:lvlJc w:val="left"/>
      <w:pPr>
        <w:ind w:left="7614" w:hanging="360"/>
      </w:pPr>
      <w:rPr>
        <w:rFonts w:ascii="Noto Sans Symbols" w:eastAsia="Noto Sans Symbols" w:hAnsi="Noto Sans Symbols" w:cs="Noto Sans Symbols"/>
        <w:vertAlign w:val="baseline"/>
      </w:rPr>
    </w:lvl>
  </w:abstractNum>
  <w:abstractNum w:abstractNumId="11" w15:restartNumberingAfterBreak="0">
    <w:nsid w:val="5F312325"/>
    <w:multiLevelType w:val="multilevel"/>
    <w:tmpl w:val="D7FA519E"/>
    <w:lvl w:ilvl="0">
      <w:start w:val="1"/>
      <w:numFmt w:val="decimal"/>
      <w:lvlText w:val="%1."/>
      <w:lvlJc w:val="left"/>
      <w:pPr>
        <w:ind w:left="567" w:hanging="567"/>
      </w:pPr>
      <w:rPr>
        <w:rFonts w:ascii="Times New Roman" w:eastAsia="Times New Roman" w:hAnsi="Times New Roman" w:cs="Times New Roman"/>
        <w:smallCaps w:val="0"/>
        <w:strike w:val="0"/>
        <w:color w:val="000000"/>
        <w:u w:val="none"/>
        <w:vertAlign w:val="baseline"/>
      </w:rPr>
    </w:lvl>
    <w:lvl w:ilvl="1">
      <w:start w:val="1"/>
      <w:numFmt w:val="decimal"/>
      <w:lvlText w:val="%1.%2."/>
      <w:lvlJc w:val="left"/>
      <w:pPr>
        <w:ind w:left="1134" w:hanging="567"/>
      </w:pPr>
      <w:rPr>
        <w:b w:val="0"/>
        <w:vertAlign w:val="baseline"/>
      </w:rPr>
    </w:lvl>
    <w:lvl w:ilvl="2">
      <w:start w:val="1"/>
      <w:numFmt w:val="decimal"/>
      <w:lvlText w:val="%1.%2.%3."/>
      <w:lvlJc w:val="left"/>
      <w:pPr>
        <w:ind w:left="1985" w:hanging="851"/>
      </w:pPr>
      <w:rPr>
        <w:vertAlign w:val="baseline"/>
      </w:rPr>
    </w:lvl>
    <w:lvl w:ilvl="3">
      <w:start w:val="1"/>
      <w:numFmt w:val="decimal"/>
      <w:lvlText w:val="%1.%2.%3.%4."/>
      <w:lvlJc w:val="left"/>
      <w:pPr>
        <w:ind w:left="2835" w:hanging="850"/>
      </w:pPr>
      <w:rPr>
        <w:vertAlign w:val="baseline"/>
      </w:rPr>
    </w:lvl>
    <w:lvl w:ilvl="4">
      <w:start w:val="1"/>
      <w:numFmt w:val="decimal"/>
      <w:lvlText w:val="%1.%2.%3.%4.%5."/>
      <w:lvlJc w:val="left"/>
      <w:pPr>
        <w:ind w:left="3420" w:hanging="1080"/>
      </w:pPr>
      <w:rPr>
        <w:vertAlign w:val="baseline"/>
      </w:rPr>
    </w:lvl>
    <w:lvl w:ilvl="5">
      <w:start w:val="1"/>
      <w:numFmt w:val="decimal"/>
      <w:lvlText w:val="%1.%2.%3.%4.%5.%6."/>
      <w:lvlJc w:val="left"/>
      <w:pPr>
        <w:ind w:left="3915" w:hanging="1080"/>
      </w:pPr>
      <w:rPr>
        <w:vertAlign w:val="baseline"/>
      </w:rPr>
    </w:lvl>
    <w:lvl w:ilvl="6">
      <w:start w:val="1"/>
      <w:numFmt w:val="decimal"/>
      <w:lvlText w:val="%1.%2.%3.%4.%5.%6.%7."/>
      <w:lvlJc w:val="left"/>
      <w:pPr>
        <w:ind w:left="4770" w:hanging="1440"/>
      </w:pPr>
      <w:rPr>
        <w:vertAlign w:val="baseline"/>
      </w:rPr>
    </w:lvl>
    <w:lvl w:ilvl="7">
      <w:start w:val="1"/>
      <w:numFmt w:val="decimal"/>
      <w:lvlText w:val="%1.%2.%3.%4.%5.%6.%7.%8."/>
      <w:lvlJc w:val="left"/>
      <w:pPr>
        <w:ind w:left="5265" w:hanging="1440"/>
      </w:pPr>
      <w:rPr>
        <w:vertAlign w:val="baseline"/>
      </w:rPr>
    </w:lvl>
    <w:lvl w:ilvl="8">
      <w:start w:val="1"/>
      <w:numFmt w:val="decimal"/>
      <w:lvlText w:val="%1.%2.%3.%4.%5.%6.%7.%8.%9."/>
      <w:lvlJc w:val="left"/>
      <w:pPr>
        <w:ind w:left="6120" w:hanging="1800"/>
      </w:pPr>
      <w:rPr>
        <w:vertAlign w:val="baseline"/>
      </w:rPr>
    </w:lvl>
  </w:abstractNum>
  <w:abstractNum w:abstractNumId="12" w15:restartNumberingAfterBreak="0">
    <w:nsid w:val="605277BA"/>
    <w:multiLevelType w:val="multilevel"/>
    <w:tmpl w:val="B3CAE758"/>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13" w15:restartNumberingAfterBreak="0">
    <w:nsid w:val="625530EE"/>
    <w:multiLevelType w:val="multilevel"/>
    <w:tmpl w:val="CDB2BEC6"/>
    <w:lvl w:ilvl="0">
      <w:start w:val="1"/>
      <w:numFmt w:val="lowerLetter"/>
      <w:lvlText w:val="%1)"/>
      <w:lvlJc w:val="left"/>
      <w:pPr>
        <w:ind w:left="1287" w:hanging="360"/>
      </w:pPr>
      <w:rPr>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14" w15:restartNumberingAfterBreak="0">
    <w:nsid w:val="6BB96C6D"/>
    <w:multiLevelType w:val="multilevel"/>
    <w:tmpl w:val="A99C3E22"/>
    <w:lvl w:ilvl="0">
      <w:start w:val="1"/>
      <w:numFmt w:val="decimal"/>
      <w:lvlText w:val="%1."/>
      <w:lvlJc w:val="left"/>
      <w:pPr>
        <w:ind w:left="2880" w:hanging="360"/>
      </w:pPr>
      <w:rPr>
        <w:vertAlign w:val="baseline"/>
      </w:rPr>
    </w:lvl>
    <w:lvl w:ilvl="1">
      <w:start w:val="1"/>
      <w:numFmt w:val="lowerLetter"/>
      <w:lvlText w:val="%2."/>
      <w:lvlJc w:val="left"/>
      <w:pPr>
        <w:ind w:left="3600" w:hanging="360"/>
      </w:pPr>
      <w:rPr>
        <w:vertAlign w:val="baseline"/>
      </w:rPr>
    </w:lvl>
    <w:lvl w:ilvl="2">
      <w:start w:val="1"/>
      <w:numFmt w:val="lowerRoman"/>
      <w:lvlText w:val="%3."/>
      <w:lvlJc w:val="right"/>
      <w:pPr>
        <w:ind w:left="4320" w:hanging="180"/>
      </w:pPr>
      <w:rPr>
        <w:vertAlign w:val="baseline"/>
      </w:rPr>
    </w:lvl>
    <w:lvl w:ilvl="3">
      <w:start w:val="1"/>
      <w:numFmt w:val="decimal"/>
      <w:lvlText w:val="%4."/>
      <w:lvlJc w:val="left"/>
      <w:pPr>
        <w:ind w:left="5040" w:hanging="360"/>
      </w:pPr>
      <w:rPr>
        <w:vertAlign w:val="baseline"/>
      </w:rPr>
    </w:lvl>
    <w:lvl w:ilvl="4">
      <w:start w:val="1"/>
      <w:numFmt w:val="lowerLetter"/>
      <w:lvlText w:val="%5."/>
      <w:lvlJc w:val="left"/>
      <w:pPr>
        <w:ind w:left="5760" w:hanging="360"/>
      </w:pPr>
      <w:rPr>
        <w:vertAlign w:val="baseline"/>
      </w:rPr>
    </w:lvl>
    <w:lvl w:ilvl="5">
      <w:start w:val="1"/>
      <w:numFmt w:val="lowerRoman"/>
      <w:lvlText w:val="%6."/>
      <w:lvlJc w:val="right"/>
      <w:pPr>
        <w:ind w:left="6480" w:hanging="180"/>
      </w:pPr>
      <w:rPr>
        <w:vertAlign w:val="baseline"/>
      </w:rPr>
    </w:lvl>
    <w:lvl w:ilvl="6">
      <w:start w:val="1"/>
      <w:numFmt w:val="decimal"/>
      <w:lvlText w:val="%7."/>
      <w:lvlJc w:val="left"/>
      <w:pPr>
        <w:ind w:left="7200" w:hanging="360"/>
      </w:pPr>
      <w:rPr>
        <w:vertAlign w:val="baseline"/>
      </w:rPr>
    </w:lvl>
    <w:lvl w:ilvl="7">
      <w:start w:val="1"/>
      <w:numFmt w:val="lowerLetter"/>
      <w:lvlText w:val="%8."/>
      <w:lvlJc w:val="left"/>
      <w:pPr>
        <w:ind w:left="7920" w:hanging="360"/>
      </w:pPr>
      <w:rPr>
        <w:vertAlign w:val="baseline"/>
      </w:rPr>
    </w:lvl>
    <w:lvl w:ilvl="8">
      <w:start w:val="1"/>
      <w:numFmt w:val="lowerRoman"/>
      <w:lvlText w:val="%9."/>
      <w:lvlJc w:val="right"/>
      <w:pPr>
        <w:ind w:left="8640" w:hanging="180"/>
      </w:pPr>
      <w:rPr>
        <w:vertAlign w:val="baseline"/>
      </w:rPr>
    </w:lvl>
  </w:abstractNum>
  <w:abstractNum w:abstractNumId="15" w15:restartNumberingAfterBreak="0">
    <w:nsid w:val="6F5A1C13"/>
    <w:multiLevelType w:val="multilevel"/>
    <w:tmpl w:val="847881E6"/>
    <w:lvl w:ilvl="0">
      <w:start w:val="1"/>
      <w:numFmt w:val="lowerLetter"/>
      <w:lvlText w:val="%1)"/>
      <w:lvlJc w:val="left"/>
      <w:pPr>
        <w:ind w:left="1287" w:hanging="360"/>
      </w:pPr>
      <w:rPr>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16" w15:restartNumberingAfterBreak="0">
    <w:nsid w:val="780D6E3B"/>
    <w:multiLevelType w:val="multilevel"/>
    <w:tmpl w:val="43325C4E"/>
    <w:lvl w:ilvl="0">
      <w:start w:val="1"/>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79200F02"/>
    <w:multiLevelType w:val="multilevel"/>
    <w:tmpl w:val="00E81646"/>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Courier New" w:eastAsia="Courier New" w:hAnsi="Courier New" w:cs="Courier New"/>
        <w:vertAlign w:val="baseline"/>
      </w:rPr>
    </w:lvl>
    <w:lvl w:ilvl="2">
      <w:start w:val="1"/>
      <w:numFmt w:val="bullet"/>
      <w:lvlText w:val="▪"/>
      <w:lvlJc w:val="left"/>
      <w:pPr>
        <w:ind w:left="3960" w:hanging="360"/>
      </w:pPr>
      <w:rPr>
        <w:rFonts w:ascii="Noto Sans Symbols" w:eastAsia="Noto Sans Symbols" w:hAnsi="Noto Sans Symbols" w:cs="Noto Sans Symbols"/>
        <w:vertAlign w:val="baseline"/>
      </w:rPr>
    </w:lvl>
    <w:lvl w:ilvl="3">
      <w:start w:val="1"/>
      <w:numFmt w:val="bullet"/>
      <w:lvlText w:val="●"/>
      <w:lvlJc w:val="left"/>
      <w:pPr>
        <w:ind w:left="4680" w:hanging="360"/>
      </w:pPr>
      <w:rPr>
        <w:rFonts w:ascii="Noto Sans Symbols" w:eastAsia="Noto Sans Symbols" w:hAnsi="Noto Sans Symbols" w:cs="Noto Sans Symbols"/>
        <w:vertAlign w:val="baseline"/>
      </w:rPr>
    </w:lvl>
    <w:lvl w:ilvl="4">
      <w:start w:val="1"/>
      <w:numFmt w:val="bullet"/>
      <w:lvlText w:val="o"/>
      <w:lvlJc w:val="left"/>
      <w:pPr>
        <w:ind w:left="5400" w:hanging="360"/>
      </w:pPr>
      <w:rPr>
        <w:rFonts w:ascii="Courier New" w:eastAsia="Courier New" w:hAnsi="Courier New" w:cs="Courier New"/>
        <w:vertAlign w:val="baseline"/>
      </w:rPr>
    </w:lvl>
    <w:lvl w:ilvl="5">
      <w:start w:val="1"/>
      <w:numFmt w:val="bullet"/>
      <w:lvlText w:val="▪"/>
      <w:lvlJc w:val="left"/>
      <w:pPr>
        <w:ind w:left="6120" w:hanging="360"/>
      </w:pPr>
      <w:rPr>
        <w:rFonts w:ascii="Noto Sans Symbols" w:eastAsia="Noto Sans Symbols" w:hAnsi="Noto Sans Symbols" w:cs="Noto Sans Symbols"/>
        <w:vertAlign w:val="baseline"/>
      </w:rPr>
    </w:lvl>
    <w:lvl w:ilvl="6">
      <w:start w:val="1"/>
      <w:numFmt w:val="bullet"/>
      <w:lvlText w:val="●"/>
      <w:lvlJc w:val="left"/>
      <w:pPr>
        <w:ind w:left="6840" w:hanging="360"/>
      </w:pPr>
      <w:rPr>
        <w:rFonts w:ascii="Noto Sans Symbols" w:eastAsia="Noto Sans Symbols" w:hAnsi="Noto Sans Symbols" w:cs="Noto Sans Symbols"/>
        <w:vertAlign w:val="baseline"/>
      </w:rPr>
    </w:lvl>
    <w:lvl w:ilvl="7">
      <w:start w:val="1"/>
      <w:numFmt w:val="bullet"/>
      <w:lvlText w:val="o"/>
      <w:lvlJc w:val="left"/>
      <w:pPr>
        <w:ind w:left="7560" w:hanging="360"/>
      </w:pPr>
      <w:rPr>
        <w:rFonts w:ascii="Courier New" w:eastAsia="Courier New" w:hAnsi="Courier New" w:cs="Courier New"/>
        <w:vertAlign w:val="baseline"/>
      </w:rPr>
    </w:lvl>
    <w:lvl w:ilvl="8">
      <w:start w:val="1"/>
      <w:numFmt w:val="bullet"/>
      <w:lvlText w:val="▪"/>
      <w:lvlJc w:val="left"/>
      <w:pPr>
        <w:ind w:left="8280" w:hanging="360"/>
      </w:pPr>
      <w:rPr>
        <w:rFonts w:ascii="Noto Sans Symbols" w:eastAsia="Noto Sans Symbols" w:hAnsi="Noto Sans Symbols" w:cs="Noto Sans Symbols"/>
        <w:vertAlign w:val="baseline"/>
      </w:rPr>
    </w:lvl>
  </w:abstractNum>
  <w:abstractNum w:abstractNumId="18" w15:restartNumberingAfterBreak="0">
    <w:nsid w:val="7F861D2C"/>
    <w:multiLevelType w:val="multilevel"/>
    <w:tmpl w:val="C37ACD34"/>
    <w:lvl w:ilvl="0">
      <w:start w:val="1"/>
      <w:numFmt w:val="bullet"/>
      <w:lvlText w:val="●"/>
      <w:lvlJc w:val="left"/>
      <w:pPr>
        <w:ind w:left="2214" w:hanging="360"/>
      </w:pPr>
      <w:rPr>
        <w:rFonts w:ascii="Noto Sans Symbols" w:eastAsia="Noto Sans Symbols" w:hAnsi="Noto Sans Symbols" w:cs="Noto Sans Symbols"/>
        <w:vertAlign w:val="baseline"/>
      </w:rPr>
    </w:lvl>
    <w:lvl w:ilvl="1">
      <w:start w:val="1"/>
      <w:numFmt w:val="bullet"/>
      <w:lvlText w:val="o"/>
      <w:lvlJc w:val="left"/>
      <w:pPr>
        <w:ind w:left="2934" w:hanging="360"/>
      </w:pPr>
      <w:rPr>
        <w:rFonts w:ascii="Courier New" w:eastAsia="Courier New" w:hAnsi="Courier New" w:cs="Courier New"/>
        <w:vertAlign w:val="baseline"/>
      </w:rPr>
    </w:lvl>
    <w:lvl w:ilvl="2">
      <w:start w:val="1"/>
      <w:numFmt w:val="bullet"/>
      <w:lvlText w:val="▪"/>
      <w:lvlJc w:val="left"/>
      <w:pPr>
        <w:ind w:left="3654" w:hanging="360"/>
      </w:pPr>
      <w:rPr>
        <w:rFonts w:ascii="Noto Sans Symbols" w:eastAsia="Noto Sans Symbols" w:hAnsi="Noto Sans Symbols" w:cs="Noto Sans Symbols"/>
        <w:vertAlign w:val="baseline"/>
      </w:rPr>
    </w:lvl>
    <w:lvl w:ilvl="3">
      <w:start w:val="1"/>
      <w:numFmt w:val="bullet"/>
      <w:lvlText w:val="●"/>
      <w:lvlJc w:val="left"/>
      <w:pPr>
        <w:ind w:left="4374" w:hanging="360"/>
      </w:pPr>
      <w:rPr>
        <w:rFonts w:ascii="Noto Sans Symbols" w:eastAsia="Noto Sans Symbols" w:hAnsi="Noto Sans Symbols" w:cs="Noto Sans Symbols"/>
        <w:vertAlign w:val="baseline"/>
      </w:rPr>
    </w:lvl>
    <w:lvl w:ilvl="4">
      <w:start w:val="1"/>
      <w:numFmt w:val="bullet"/>
      <w:lvlText w:val="o"/>
      <w:lvlJc w:val="left"/>
      <w:pPr>
        <w:ind w:left="5094" w:hanging="360"/>
      </w:pPr>
      <w:rPr>
        <w:rFonts w:ascii="Courier New" w:eastAsia="Courier New" w:hAnsi="Courier New" w:cs="Courier New"/>
        <w:vertAlign w:val="baseline"/>
      </w:rPr>
    </w:lvl>
    <w:lvl w:ilvl="5">
      <w:start w:val="1"/>
      <w:numFmt w:val="bullet"/>
      <w:lvlText w:val="▪"/>
      <w:lvlJc w:val="left"/>
      <w:pPr>
        <w:ind w:left="5814" w:hanging="360"/>
      </w:pPr>
      <w:rPr>
        <w:rFonts w:ascii="Noto Sans Symbols" w:eastAsia="Noto Sans Symbols" w:hAnsi="Noto Sans Symbols" w:cs="Noto Sans Symbols"/>
        <w:vertAlign w:val="baseline"/>
      </w:rPr>
    </w:lvl>
    <w:lvl w:ilvl="6">
      <w:start w:val="1"/>
      <w:numFmt w:val="bullet"/>
      <w:lvlText w:val="●"/>
      <w:lvlJc w:val="left"/>
      <w:pPr>
        <w:ind w:left="6534" w:hanging="360"/>
      </w:pPr>
      <w:rPr>
        <w:rFonts w:ascii="Noto Sans Symbols" w:eastAsia="Noto Sans Symbols" w:hAnsi="Noto Sans Symbols" w:cs="Noto Sans Symbols"/>
        <w:vertAlign w:val="baseline"/>
      </w:rPr>
    </w:lvl>
    <w:lvl w:ilvl="7">
      <w:start w:val="1"/>
      <w:numFmt w:val="bullet"/>
      <w:lvlText w:val="o"/>
      <w:lvlJc w:val="left"/>
      <w:pPr>
        <w:ind w:left="7254" w:hanging="360"/>
      </w:pPr>
      <w:rPr>
        <w:rFonts w:ascii="Courier New" w:eastAsia="Courier New" w:hAnsi="Courier New" w:cs="Courier New"/>
        <w:vertAlign w:val="baseline"/>
      </w:rPr>
    </w:lvl>
    <w:lvl w:ilvl="8">
      <w:start w:val="1"/>
      <w:numFmt w:val="bullet"/>
      <w:lvlText w:val="▪"/>
      <w:lvlJc w:val="left"/>
      <w:pPr>
        <w:ind w:left="7974" w:hanging="360"/>
      </w:pPr>
      <w:rPr>
        <w:rFonts w:ascii="Noto Sans Symbols" w:eastAsia="Noto Sans Symbols" w:hAnsi="Noto Sans Symbols" w:cs="Noto Sans Symbols"/>
        <w:vertAlign w:val="baseline"/>
      </w:rPr>
    </w:lvl>
  </w:abstractNum>
  <w:num w:numId="1">
    <w:abstractNumId w:val="3"/>
  </w:num>
  <w:num w:numId="2">
    <w:abstractNumId w:val="5"/>
  </w:num>
  <w:num w:numId="3">
    <w:abstractNumId w:val="15"/>
  </w:num>
  <w:num w:numId="4">
    <w:abstractNumId w:val="12"/>
  </w:num>
  <w:num w:numId="5">
    <w:abstractNumId w:val="14"/>
  </w:num>
  <w:num w:numId="6">
    <w:abstractNumId w:val="17"/>
  </w:num>
  <w:num w:numId="7">
    <w:abstractNumId w:val="18"/>
  </w:num>
  <w:num w:numId="8">
    <w:abstractNumId w:val="10"/>
  </w:num>
  <w:num w:numId="9">
    <w:abstractNumId w:val="13"/>
  </w:num>
  <w:num w:numId="10">
    <w:abstractNumId w:val="2"/>
  </w:num>
  <w:num w:numId="11">
    <w:abstractNumId w:val="11"/>
  </w:num>
  <w:num w:numId="12">
    <w:abstractNumId w:val="6"/>
  </w:num>
  <w:num w:numId="13">
    <w:abstractNumId w:val="4"/>
  </w:num>
  <w:num w:numId="14">
    <w:abstractNumId w:val="7"/>
  </w:num>
  <w:num w:numId="15">
    <w:abstractNumId w:val="1"/>
  </w:num>
  <w:num w:numId="16">
    <w:abstractNumId w:val="16"/>
  </w:num>
  <w:num w:numId="17">
    <w:abstractNumId w:val="9"/>
  </w:num>
  <w:num w:numId="18">
    <w:abstractNumId w:val="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4E3"/>
    <w:rsid w:val="000052F3"/>
    <w:rsid w:val="00066EB5"/>
    <w:rsid w:val="0009059F"/>
    <w:rsid w:val="000A781C"/>
    <w:rsid w:val="000B100F"/>
    <w:rsid w:val="000B10E0"/>
    <w:rsid w:val="000D4939"/>
    <w:rsid w:val="001355D6"/>
    <w:rsid w:val="00163C9C"/>
    <w:rsid w:val="00172221"/>
    <w:rsid w:val="00181882"/>
    <w:rsid w:val="00187622"/>
    <w:rsid w:val="0019218C"/>
    <w:rsid w:val="00234FDD"/>
    <w:rsid w:val="00237018"/>
    <w:rsid w:val="00251EB3"/>
    <w:rsid w:val="0028627E"/>
    <w:rsid w:val="00297190"/>
    <w:rsid w:val="002C3AE4"/>
    <w:rsid w:val="00301AE7"/>
    <w:rsid w:val="00345120"/>
    <w:rsid w:val="00395846"/>
    <w:rsid w:val="003D387C"/>
    <w:rsid w:val="004128E1"/>
    <w:rsid w:val="00431FC8"/>
    <w:rsid w:val="004407AB"/>
    <w:rsid w:val="00486DBB"/>
    <w:rsid w:val="004A788A"/>
    <w:rsid w:val="004E4F0D"/>
    <w:rsid w:val="00572D5B"/>
    <w:rsid w:val="005816A8"/>
    <w:rsid w:val="005C1880"/>
    <w:rsid w:val="005C3260"/>
    <w:rsid w:val="005E6160"/>
    <w:rsid w:val="0060713F"/>
    <w:rsid w:val="006761BA"/>
    <w:rsid w:val="00683F1C"/>
    <w:rsid w:val="00690E26"/>
    <w:rsid w:val="006C50E0"/>
    <w:rsid w:val="007066D2"/>
    <w:rsid w:val="007165CC"/>
    <w:rsid w:val="00716853"/>
    <w:rsid w:val="00721AD8"/>
    <w:rsid w:val="00736E14"/>
    <w:rsid w:val="00747159"/>
    <w:rsid w:val="00761456"/>
    <w:rsid w:val="00786A86"/>
    <w:rsid w:val="007B25B7"/>
    <w:rsid w:val="007C6128"/>
    <w:rsid w:val="007D3A0E"/>
    <w:rsid w:val="00800C9D"/>
    <w:rsid w:val="008720D0"/>
    <w:rsid w:val="00894504"/>
    <w:rsid w:val="008A4425"/>
    <w:rsid w:val="008D2719"/>
    <w:rsid w:val="00931B72"/>
    <w:rsid w:val="00966159"/>
    <w:rsid w:val="00976161"/>
    <w:rsid w:val="009C34ED"/>
    <w:rsid w:val="009C534C"/>
    <w:rsid w:val="00A25C94"/>
    <w:rsid w:val="00A4413A"/>
    <w:rsid w:val="00A50FB3"/>
    <w:rsid w:val="00A53E20"/>
    <w:rsid w:val="00A87752"/>
    <w:rsid w:val="00A879AE"/>
    <w:rsid w:val="00AB0DF2"/>
    <w:rsid w:val="00AB20E6"/>
    <w:rsid w:val="00AC4280"/>
    <w:rsid w:val="00AD3E7C"/>
    <w:rsid w:val="00AD7D1C"/>
    <w:rsid w:val="00B20EF3"/>
    <w:rsid w:val="00B644E3"/>
    <w:rsid w:val="00B74257"/>
    <w:rsid w:val="00B87CE6"/>
    <w:rsid w:val="00B927ED"/>
    <w:rsid w:val="00B96958"/>
    <w:rsid w:val="00BD3038"/>
    <w:rsid w:val="00BD489A"/>
    <w:rsid w:val="00C14032"/>
    <w:rsid w:val="00C15CF5"/>
    <w:rsid w:val="00C20E30"/>
    <w:rsid w:val="00C81BBB"/>
    <w:rsid w:val="00CC689D"/>
    <w:rsid w:val="00D221F2"/>
    <w:rsid w:val="00D56D56"/>
    <w:rsid w:val="00DB0A90"/>
    <w:rsid w:val="00DD1853"/>
    <w:rsid w:val="00DD6508"/>
    <w:rsid w:val="00DE70A4"/>
    <w:rsid w:val="00E02532"/>
    <w:rsid w:val="00E4183F"/>
    <w:rsid w:val="00E62CB7"/>
    <w:rsid w:val="00E8183E"/>
    <w:rsid w:val="00E97A2E"/>
    <w:rsid w:val="00EA33E5"/>
    <w:rsid w:val="00EB46FE"/>
    <w:rsid w:val="00EC387E"/>
    <w:rsid w:val="00EC51F0"/>
    <w:rsid w:val="00EE5425"/>
    <w:rsid w:val="00F03996"/>
    <w:rsid w:val="00F13165"/>
    <w:rsid w:val="00F2212D"/>
    <w:rsid w:val="00F233A9"/>
    <w:rsid w:val="00F35C68"/>
    <w:rsid w:val="00F44E65"/>
    <w:rsid w:val="00F7015E"/>
    <w:rsid w:val="00F75058"/>
    <w:rsid w:val="00F755A3"/>
    <w:rsid w:val="00F9171E"/>
    <w:rsid w:val="00FA56AE"/>
    <w:rsid w:val="00FC2BC9"/>
    <w:rsid w:val="00FD0E1B"/>
    <w:rsid w:val="00FF7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189A3"/>
  <w15:docId w15:val="{C16359C9-0814-4A88-A878-FABA57884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US" w:bidi="ar-SA"/>
      </w:rPr>
    </w:rPrDefault>
    <w:pPrDefault>
      <w:pPr>
        <w:spacing w:after="120"/>
        <w:ind w:left="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ind w:left="0"/>
      <w:outlineLvl w:val="0"/>
    </w:pPr>
    <w:rPr>
      <w:rFonts w:ascii="Times" w:eastAsia="Times" w:hAnsi="Times" w:cs="Times"/>
      <w:b/>
      <w:smallCaps/>
      <w:color w:val="000000"/>
      <w:sz w:val="28"/>
      <w:szCs w:val="28"/>
    </w:rPr>
  </w:style>
  <w:style w:type="paragraph" w:styleId="Heading2">
    <w:name w:val="heading 2"/>
    <w:basedOn w:val="Normal"/>
    <w:next w:val="Normal"/>
    <w:pPr>
      <w:keepNext/>
      <w:spacing w:before="240"/>
      <w:ind w:hanging="567"/>
      <w:outlineLvl w:val="1"/>
    </w:pPr>
    <w:rPr>
      <w:b/>
    </w:rPr>
  </w:style>
  <w:style w:type="paragraph" w:styleId="Heading3">
    <w:name w:val="heading 3"/>
    <w:basedOn w:val="Normal"/>
    <w:next w:val="Normal"/>
    <w:pPr>
      <w:spacing w:before="240"/>
      <w:ind w:hanging="567"/>
      <w:outlineLvl w:val="2"/>
    </w:pPr>
  </w:style>
  <w:style w:type="paragraph" w:styleId="Heading4">
    <w:name w:val="heading 4"/>
    <w:basedOn w:val="Normal"/>
    <w:next w:val="Normal"/>
    <w:pPr>
      <w:spacing w:before="120"/>
      <w:ind w:left="1985"/>
      <w:outlineLvl w:val="3"/>
    </w:pPr>
  </w:style>
  <w:style w:type="paragraph" w:styleId="Heading5">
    <w:name w:val="heading 5"/>
    <w:basedOn w:val="Normal"/>
    <w:next w:val="Normal"/>
    <w:pPr>
      <w:spacing w:before="240"/>
      <w:ind w:hanging="850"/>
      <w:outlineLvl w:val="4"/>
    </w:p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120"/>
      <w:jc w:val="center"/>
    </w:pPr>
    <w:rPr>
      <w:rFonts w:ascii="Arial" w:eastAsia="Arial" w:hAnsi="Arial" w:cs="Arial"/>
      <w:b/>
      <w:sz w:val="28"/>
      <w:szCs w:val="28"/>
    </w:rPr>
  </w:style>
  <w:style w:type="paragraph" w:styleId="Subtitle">
    <w:name w:val="Subtitle"/>
    <w:basedOn w:val="Normal"/>
    <w:next w:val="Normal"/>
    <w:pPr>
      <w:spacing w:before="120"/>
      <w:jc w:val="center"/>
    </w:pPr>
    <w:rPr>
      <w:rFonts w:ascii="Arial" w:eastAsia="Arial" w:hAnsi="Arial" w:cs="Arial"/>
      <w:b/>
      <w:sz w:val="28"/>
      <w:szCs w:val="2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25C9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C94"/>
    <w:rPr>
      <w:rFonts w:ascii="Segoe UI" w:hAnsi="Segoe UI" w:cs="Segoe UI"/>
      <w:sz w:val="18"/>
      <w:szCs w:val="18"/>
    </w:rPr>
  </w:style>
  <w:style w:type="paragraph" w:styleId="Header">
    <w:name w:val="header"/>
    <w:basedOn w:val="Normal"/>
    <w:link w:val="HeaderChar"/>
    <w:uiPriority w:val="99"/>
    <w:unhideWhenUsed/>
    <w:rsid w:val="00A25C94"/>
    <w:pPr>
      <w:tabs>
        <w:tab w:val="center" w:pos="4703"/>
        <w:tab w:val="right" w:pos="9406"/>
      </w:tabs>
      <w:spacing w:after="0"/>
    </w:pPr>
  </w:style>
  <w:style w:type="character" w:customStyle="1" w:styleId="HeaderChar">
    <w:name w:val="Header Char"/>
    <w:basedOn w:val="DefaultParagraphFont"/>
    <w:link w:val="Header"/>
    <w:uiPriority w:val="99"/>
    <w:rsid w:val="00A25C94"/>
  </w:style>
  <w:style w:type="paragraph" w:styleId="ListParagraph">
    <w:name w:val="List Paragraph"/>
    <w:basedOn w:val="Normal"/>
    <w:uiPriority w:val="34"/>
    <w:qFormat/>
    <w:rsid w:val="005C3260"/>
    <w:pPr>
      <w:ind w:left="720"/>
      <w:contextualSpacing/>
    </w:pPr>
  </w:style>
  <w:style w:type="character" w:styleId="Hyperlink">
    <w:name w:val="Hyperlink"/>
    <w:basedOn w:val="DefaultParagraphFont"/>
    <w:uiPriority w:val="99"/>
    <w:unhideWhenUsed/>
    <w:rsid w:val="00F2212D"/>
    <w:rPr>
      <w:color w:val="0000FF" w:themeColor="hyperlink"/>
      <w:u w:val="single"/>
    </w:rPr>
  </w:style>
  <w:style w:type="character" w:customStyle="1" w:styleId="UnresolvedMention1">
    <w:name w:val="Unresolved Mention1"/>
    <w:basedOn w:val="DefaultParagraphFont"/>
    <w:uiPriority w:val="99"/>
    <w:semiHidden/>
    <w:unhideWhenUsed/>
    <w:rsid w:val="00F2212D"/>
    <w:rPr>
      <w:color w:val="605E5C"/>
      <w:shd w:val="clear" w:color="auto" w:fill="E1DFDD"/>
    </w:rPr>
  </w:style>
  <w:style w:type="paragraph" w:customStyle="1" w:styleId="Blockquote">
    <w:name w:val="Blockquote"/>
    <w:basedOn w:val="Normal"/>
    <w:rsid w:val="00572D5B"/>
    <w:pPr>
      <w:widowControl w:val="0"/>
      <w:spacing w:before="100" w:after="100"/>
      <w:ind w:left="360" w:right="360"/>
      <w:jc w:val="left"/>
    </w:pPr>
    <w:rPr>
      <w:snapToGrid w:val="0"/>
      <w:sz w:val="24"/>
      <w:szCs w:val="20"/>
      <w:lang w:val="en-US"/>
    </w:rPr>
  </w:style>
  <w:style w:type="paragraph" w:styleId="TOC1">
    <w:name w:val="toc 1"/>
    <w:basedOn w:val="Normal"/>
    <w:next w:val="Normal"/>
    <w:autoRedefine/>
    <w:uiPriority w:val="39"/>
    <w:unhideWhenUsed/>
    <w:rsid w:val="00C20E30"/>
    <w:pPr>
      <w:spacing w:after="100"/>
      <w:ind w:left="0"/>
    </w:pPr>
  </w:style>
  <w:style w:type="paragraph" w:styleId="TOC2">
    <w:name w:val="toc 2"/>
    <w:basedOn w:val="Normal"/>
    <w:next w:val="Normal"/>
    <w:autoRedefine/>
    <w:uiPriority w:val="39"/>
    <w:unhideWhenUsed/>
    <w:rsid w:val="00C20E30"/>
    <w:pPr>
      <w:spacing w:after="100"/>
      <w:ind w:left="220"/>
    </w:pPr>
  </w:style>
  <w:style w:type="paragraph" w:styleId="TOC3">
    <w:name w:val="toc 3"/>
    <w:basedOn w:val="Normal"/>
    <w:next w:val="Normal"/>
    <w:autoRedefine/>
    <w:uiPriority w:val="39"/>
    <w:unhideWhenUsed/>
    <w:rsid w:val="00C20E30"/>
    <w:pPr>
      <w:spacing w:after="100"/>
      <w:ind w:left="440"/>
    </w:pPr>
  </w:style>
  <w:style w:type="paragraph" w:styleId="TOC4">
    <w:name w:val="toc 4"/>
    <w:basedOn w:val="Normal"/>
    <w:next w:val="Normal"/>
    <w:autoRedefine/>
    <w:uiPriority w:val="39"/>
    <w:unhideWhenUsed/>
    <w:rsid w:val="00C20E30"/>
    <w:pPr>
      <w:spacing w:after="100"/>
      <w:ind w:left="660"/>
    </w:pPr>
  </w:style>
  <w:style w:type="paragraph" w:styleId="TOC5">
    <w:name w:val="toc 5"/>
    <w:basedOn w:val="Normal"/>
    <w:next w:val="Normal"/>
    <w:autoRedefine/>
    <w:uiPriority w:val="39"/>
    <w:unhideWhenUsed/>
    <w:rsid w:val="00C20E30"/>
    <w:pPr>
      <w:spacing w:after="100"/>
      <w:ind w:left="880"/>
    </w:pPr>
  </w:style>
  <w:style w:type="paragraph" w:styleId="TOC6">
    <w:name w:val="toc 6"/>
    <w:basedOn w:val="Normal"/>
    <w:next w:val="Normal"/>
    <w:autoRedefine/>
    <w:uiPriority w:val="39"/>
    <w:unhideWhenUsed/>
    <w:rsid w:val="00C20E30"/>
    <w:pPr>
      <w:spacing w:after="100" w:line="278" w:lineRule="auto"/>
      <w:ind w:left="1200"/>
      <w:jc w:val="left"/>
    </w:pPr>
    <w:rPr>
      <w:rFonts w:asciiTheme="minorHAnsi" w:eastAsiaTheme="minorEastAsia" w:hAnsiTheme="minorHAnsi" w:cstheme="minorBidi"/>
      <w:kern w:val="2"/>
      <w:sz w:val="24"/>
      <w:szCs w:val="24"/>
      <w:lang w:val="en-US"/>
      <w14:ligatures w14:val="standardContextual"/>
    </w:rPr>
  </w:style>
  <w:style w:type="paragraph" w:styleId="TOC7">
    <w:name w:val="toc 7"/>
    <w:basedOn w:val="Normal"/>
    <w:next w:val="Normal"/>
    <w:autoRedefine/>
    <w:uiPriority w:val="39"/>
    <w:unhideWhenUsed/>
    <w:rsid w:val="00C20E30"/>
    <w:pPr>
      <w:spacing w:after="100" w:line="278" w:lineRule="auto"/>
      <w:ind w:left="1440"/>
      <w:jc w:val="left"/>
    </w:pPr>
    <w:rPr>
      <w:rFonts w:asciiTheme="minorHAnsi" w:eastAsiaTheme="minorEastAsia" w:hAnsiTheme="minorHAnsi" w:cstheme="minorBidi"/>
      <w:kern w:val="2"/>
      <w:sz w:val="24"/>
      <w:szCs w:val="24"/>
      <w:lang w:val="en-US"/>
      <w14:ligatures w14:val="standardContextual"/>
    </w:rPr>
  </w:style>
  <w:style w:type="paragraph" w:styleId="TOC8">
    <w:name w:val="toc 8"/>
    <w:basedOn w:val="Normal"/>
    <w:next w:val="Normal"/>
    <w:autoRedefine/>
    <w:uiPriority w:val="39"/>
    <w:unhideWhenUsed/>
    <w:rsid w:val="00C20E30"/>
    <w:pPr>
      <w:spacing w:after="100" w:line="278" w:lineRule="auto"/>
      <w:ind w:left="1680"/>
      <w:jc w:val="left"/>
    </w:pPr>
    <w:rPr>
      <w:rFonts w:asciiTheme="minorHAnsi" w:eastAsiaTheme="minorEastAsia" w:hAnsiTheme="minorHAnsi" w:cstheme="minorBidi"/>
      <w:kern w:val="2"/>
      <w:sz w:val="24"/>
      <w:szCs w:val="24"/>
      <w:lang w:val="en-US"/>
      <w14:ligatures w14:val="standardContextual"/>
    </w:rPr>
  </w:style>
  <w:style w:type="paragraph" w:styleId="TOC9">
    <w:name w:val="toc 9"/>
    <w:basedOn w:val="Normal"/>
    <w:next w:val="Normal"/>
    <w:autoRedefine/>
    <w:uiPriority w:val="39"/>
    <w:unhideWhenUsed/>
    <w:rsid w:val="00C20E30"/>
    <w:pPr>
      <w:spacing w:after="100" w:line="278" w:lineRule="auto"/>
      <w:ind w:left="1920"/>
      <w:jc w:val="left"/>
    </w:pPr>
    <w:rPr>
      <w:rFonts w:asciiTheme="minorHAnsi" w:eastAsiaTheme="minorEastAsia" w:hAnsiTheme="minorHAnsi" w:cstheme="minorBidi"/>
      <w:kern w:val="2"/>
      <w:sz w:val="24"/>
      <w:szCs w:val="24"/>
      <w:lang w:val="en-US"/>
      <w14:ligatures w14:val="standardContextual"/>
    </w:rPr>
  </w:style>
  <w:style w:type="character" w:customStyle="1" w:styleId="UnresolvedMention">
    <w:name w:val="Unresolved Mention"/>
    <w:basedOn w:val="DefaultParagraphFont"/>
    <w:uiPriority w:val="99"/>
    <w:semiHidden/>
    <w:unhideWhenUsed/>
    <w:rsid w:val="00C20E30"/>
    <w:rPr>
      <w:color w:val="605E5C"/>
      <w:shd w:val="clear" w:color="auto" w:fill="E1DFDD"/>
    </w:rPr>
  </w:style>
  <w:style w:type="paragraph" w:styleId="TOCHeading">
    <w:name w:val="TOC Heading"/>
    <w:basedOn w:val="Heading1"/>
    <w:next w:val="Normal"/>
    <w:uiPriority w:val="39"/>
    <w:unhideWhenUsed/>
    <w:qFormat/>
    <w:rsid w:val="00C20E30"/>
    <w:pPr>
      <w:keepLines/>
      <w:spacing w:after="0" w:line="259" w:lineRule="auto"/>
      <w:jc w:val="left"/>
      <w:outlineLvl w:val="9"/>
    </w:pPr>
    <w:rPr>
      <w:rFonts w:asciiTheme="majorHAnsi" w:eastAsiaTheme="majorEastAsia" w:hAnsiTheme="majorHAnsi" w:cstheme="majorBidi"/>
      <w:b w:val="0"/>
      <w:smallCaps w:val="0"/>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s.ec.europa.eu/display/ExactExternalWiki/ePRAG" TargetMode="External"/><Relationship Id="rId13" Type="http://schemas.openxmlformats.org/officeDocument/2006/relationships/hyperlink" Target="mailto:mladen.milakovic@banjaluka.rs.b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javnost@banjaluka.rs.ba"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javnost@banjaluka.rs.b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A42A8-E498-4991-A9E5-E56B5CEC4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5022</Words>
  <Characters>28626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Kristijan Futač</dc:creator>
  <cp:lastModifiedBy>Mario Milanović</cp:lastModifiedBy>
  <cp:revision>18</cp:revision>
  <cp:lastPrinted>2025-02-11T10:24:00Z</cp:lastPrinted>
  <dcterms:created xsi:type="dcterms:W3CDTF">2025-02-14T12:01:00Z</dcterms:created>
  <dcterms:modified xsi:type="dcterms:W3CDTF">2025-04-16T12:00:00Z</dcterms:modified>
</cp:coreProperties>
</file>